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7B" w:rsidRDefault="009E537B" w:rsidP="009E537B">
      <w:pPr>
        <w:jc w:val="right"/>
        <w:rPr>
          <w:rFonts w:ascii="Times New Roman" w:hAnsi="Times New Roman" w:cs="Times New Roman"/>
          <w:sz w:val="24"/>
          <w:szCs w:val="24"/>
        </w:rPr>
      </w:pPr>
      <w:r>
        <w:rPr>
          <w:rFonts w:ascii="Times New Roman" w:hAnsi="Times New Roman" w:cs="Times New Roman"/>
          <w:sz w:val="24"/>
          <w:szCs w:val="24"/>
        </w:rPr>
        <w:t>PRILOG II</w:t>
      </w:r>
    </w:p>
    <w:p w:rsidR="00B43104" w:rsidRPr="00C1594E" w:rsidRDefault="00D93657" w:rsidP="00D93657">
      <w:pPr>
        <w:rPr>
          <w:rFonts w:ascii="Times New Roman" w:hAnsi="Times New Roman" w:cs="Times New Roman"/>
          <w:b/>
          <w:color w:val="000000"/>
          <w:sz w:val="24"/>
          <w:szCs w:val="24"/>
          <w:lang w:eastAsia="hr-HR" w:bidi="hr-HR"/>
        </w:rPr>
      </w:pPr>
      <w:r w:rsidRPr="00C1594E">
        <w:rPr>
          <w:rFonts w:ascii="Times New Roman" w:hAnsi="Times New Roman" w:cs="Times New Roman"/>
          <w:b/>
          <w:sz w:val="24"/>
          <w:szCs w:val="24"/>
        </w:rPr>
        <w:t>TEHNIČ</w:t>
      </w:r>
      <w:r w:rsidRPr="00C1594E">
        <w:rPr>
          <w:rFonts w:ascii="Times New Roman" w:hAnsi="Times New Roman" w:cs="Times New Roman"/>
          <w:b/>
          <w:color w:val="000000"/>
          <w:sz w:val="24"/>
          <w:szCs w:val="24"/>
          <w:lang w:eastAsia="hr-HR" w:bidi="hr-HR"/>
        </w:rPr>
        <w:t>KA SPECIFIKACIJA USLUGE</w:t>
      </w:r>
    </w:p>
    <w:tbl>
      <w:tblPr>
        <w:tblW w:w="9649" w:type="dxa"/>
        <w:tblInd w:w="-284" w:type="dxa"/>
        <w:tblLayout w:type="fixed"/>
        <w:tblCellMar>
          <w:left w:w="10" w:type="dxa"/>
          <w:right w:w="10" w:type="dxa"/>
        </w:tblCellMar>
        <w:tblLook w:val="04A0"/>
      </w:tblPr>
      <w:tblGrid>
        <w:gridCol w:w="7973"/>
        <w:gridCol w:w="826"/>
        <w:gridCol w:w="850"/>
      </w:tblGrid>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93657" w:rsidRDefault="00D93657" w:rsidP="00D93657">
            <w:pPr>
              <w:pStyle w:val="Bodytext20"/>
              <w:shd w:val="clear" w:color="auto" w:fill="auto"/>
              <w:spacing w:line="276" w:lineRule="auto"/>
              <w:ind w:firstLine="0"/>
              <w:rPr>
                <w:b/>
                <w:sz w:val="24"/>
                <w:szCs w:val="24"/>
              </w:rPr>
            </w:pPr>
            <w:r w:rsidRPr="00D93657">
              <w:rPr>
                <w:rStyle w:val="Bodytext2Calibri11pt"/>
                <w:rFonts w:ascii="Times New Roman" w:hAnsi="Times New Roman" w:cs="Times New Roman"/>
                <w:b/>
                <w:sz w:val="24"/>
                <w:szCs w:val="24"/>
              </w:rPr>
              <w:t>Zahtijevana značajka, tražena mogućnost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pStyle w:val="Bodytext20"/>
              <w:shd w:val="clear" w:color="auto" w:fill="auto"/>
              <w:spacing w:line="276" w:lineRule="auto"/>
              <w:ind w:firstLine="0"/>
              <w:jc w:val="center"/>
              <w:rPr>
                <w:sz w:val="24"/>
                <w:szCs w:val="24"/>
              </w:rPr>
            </w:pPr>
            <w:r w:rsidRPr="006F5105">
              <w:rPr>
                <w:rStyle w:val="Bodytext2Calibri11pt"/>
                <w:rFonts w:ascii="Times New Roman" w:hAnsi="Times New Roman" w:cs="Times New Roman"/>
                <w:sz w:val="24"/>
                <w:szCs w:val="24"/>
              </w:rPr>
              <w:t>DA</w:t>
            </w: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pStyle w:val="Bodytext20"/>
              <w:shd w:val="clear" w:color="auto" w:fill="auto"/>
              <w:spacing w:line="276" w:lineRule="auto"/>
              <w:ind w:firstLine="0"/>
              <w:jc w:val="center"/>
              <w:rPr>
                <w:sz w:val="24"/>
                <w:szCs w:val="24"/>
              </w:rPr>
            </w:pPr>
            <w:r w:rsidRPr="006F5105">
              <w:rPr>
                <w:rStyle w:val="Bodytext2Calibri11pt"/>
                <w:rFonts w:ascii="Times New Roman" w:hAnsi="Times New Roman" w:cs="Times New Roman"/>
                <w:sz w:val="24"/>
                <w:szCs w:val="24"/>
              </w:rPr>
              <w:t>NE</w:t>
            </w:r>
          </w:p>
        </w:tc>
      </w:tr>
      <w:tr w:rsidR="00D93657" w:rsidRPr="006F5105" w:rsidTr="00C1594E">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Uporaba 2G tehnologija u govornim i mješovitim uslugama (GSM, EDGE, GPRS)</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Uporaba 3G tehnologija u govornim i mješovitim uslugama (UMTS)</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Uporaba 4G tehnologija u govornim i mješovitim uslugama (LTE)</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Uspostava poziva prema brojevima u tuzemstvu</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Uspostava poziva prema brojevima u inozemstvu</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Preuzimanje poziva iz tuzemstva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Preuzimanje poziva iz inozemstva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Zvukovno upozoravanje pozivatelja u slučaju zauzeća pozivanoga broja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Glasovno upozoravanje pozivatelja u slučaju nedostupnosti pozivanoga broja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Uključivanje pretplatničkih brojeva naručitelja u njegov VPN</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 xml:space="preserve">Odlazni </w:t>
            </w:r>
            <w:proofErr w:type="spellStart"/>
            <w:r w:rsidRPr="00DC048F">
              <w:rPr>
                <w:rStyle w:val="Bodytext2Calibri105pt"/>
                <w:rFonts w:ascii="Times New Roman" w:hAnsi="Times New Roman" w:cs="Times New Roman"/>
                <w:sz w:val="22"/>
                <w:szCs w:val="22"/>
              </w:rPr>
              <w:t>roaming</w:t>
            </w:r>
            <w:proofErr w:type="spellEnd"/>
            <w:r w:rsidRPr="00DC048F">
              <w:rPr>
                <w:rStyle w:val="Bodytext2Calibri105pt"/>
                <w:rFonts w:ascii="Times New Roman" w:hAnsi="Times New Roman" w:cs="Times New Roman"/>
                <w:sz w:val="22"/>
                <w:szCs w:val="22"/>
              </w:rPr>
              <w:t xml:space="preserve"> za govorne usluge</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 xml:space="preserve">Dolazni </w:t>
            </w:r>
            <w:proofErr w:type="spellStart"/>
            <w:r w:rsidRPr="00DC048F">
              <w:rPr>
                <w:rStyle w:val="Bodytext2Calibri105pt"/>
                <w:rFonts w:ascii="Times New Roman" w:hAnsi="Times New Roman" w:cs="Times New Roman"/>
                <w:sz w:val="22"/>
                <w:szCs w:val="22"/>
              </w:rPr>
              <w:t>roaming</w:t>
            </w:r>
            <w:proofErr w:type="spellEnd"/>
            <w:r w:rsidRPr="00DC048F">
              <w:rPr>
                <w:rStyle w:val="Bodytext2Calibri105pt"/>
                <w:rFonts w:ascii="Times New Roman" w:hAnsi="Times New Roman" w:cs="Times New Roman"/>
                <w:sz w:val="22"/>
                <w:szCs w:val="22"/>
              </w:rPr>
              <w:t xml:space="preserve"> za govorne usluge</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Slanje SMS poruka u tuzemstvo</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Slanje SMS poruka u inozemstvo</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 xml:space="preserve">Slanje SMS poruka u </w:t>
            </w:r>
            <w:proofErr w:type="spellStart"/>
            <w:r w:rsidRPr="00DC048F">
              <w:rPr>
                <w:rStyle w:val="Bodytext2Calibri105pt"/>
                <w:rFonts w:ascii="Times New Roman" w:hAnsi="Times New Roman" w:cs="Times New Roman"/>
                <w:sz w:val="22"/>
                <w:szCs w:val="22"/>
              </w:rPr>
              <w:t>roamingu</w:t>
            </w:r>
            <w:proofErr w:type="spellEnd"/>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Primanje SMS poruka iz tuzemstva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Primanje SMS poruka iz inozemstva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 xml:space="preserve">Primanje SMS poruka u </w:t>
            </w:r>
            <w:proofErr w:type="spellStart"/>
            <w:r w:rsidRPr="00DC048F">
              <w:rPr>
                <w:rStyle w:val="Bodytext2Calibri105pt"/>
                <w:rFonts w:ascii="Times New Roman" w:hAnsi="Times New Roman" w:cs="Times New Roman"/>
                <w:sz w:val="22"/>
                <w:szCs w:val="22"/>
              </w:rPr>
              <w:t>roamingu</w:t>
            </w:r>
            <w:proofErr w:type="spellEnd"/>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Slanje MMS poruka u tuzemstvo</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Slanje MMS poruka u inozemstvo</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 xml:space="preserve">Slanje MMS poruka u </w:t>
            </w:r>
            <w:proofErr w:type="spellStart"/>
            <w:r w:rsidRPr="00DC048F">
              <w:rPr>
                <w:rStyle w:val="Bodytext2Calibri105pt"/>
                <w:rFonts w:ascii="Times New Roman" w:hAnsi="Times New Roman" w:cs="Times New Roman"/>
                <w:sz w:val="22"/>
                <w:szCs w:val="22"/>
              </w:rPr>
              <w:t>roamingu</w:t>
            </w:r>
            <w:proofErr w:type="spellEnd"/>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Primanje MMS poruka iz tuzemstva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Primanje MMS poruka iz inozemstva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 xml:space="preserve">Primanje MMS poruka u </w:t>
            </w:r>
            <w:proofErr w:type="spellStart"/>
            <w:r w:rsidRPr="00DC048F">
              <w:rPr>
                <w:rStyle w:val="Bodytext2Calibri105pt"/>
                <w:rFonts w:ascii="Times New Roman" w:hAnsi="Times New Roman" w:cs="Times New Roman"/>
                <w:sz w:val="22"/>
                <w:szCs w:val="22"/>
              </w:rPr>
              <w:t>roamingu</w:t>
            </w:r>
            <w:proofErr w:type="spellEnd"/>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Prikaz broja pozivatelja na vlastitom uređaju (CLIP)</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Prikaz (slanje) vlastitoga broja pozivanoj strani</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Zabrana prikaza (slanja) vlastitog broja pozivanoj strani (CLIR)</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lastRenderedPageBreak/>
              <w:t>Uvjetna zabrana poziva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Bezuvjetna zabrana poziva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Zabrana poziva prema inozemstvu</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 xml:space="preserve">Zabrana poziva u </w:t>
            </w:r>
            <w:proofErr w:type="spellStart"/>
            <w:r w:rsidRPr="00DC048F">
              <w:rPr>
                <w:rStyle w:val="Bodytext2Calibri105pt"/>
                <w:rFonts w:ascii="Times New Roman" w:hAnsi="Times New Roman" w:cs="Times New Roman"/>
                <w:sz w:val="22"/>
                <w:szCs w:val="22"/>
              </w:rPr>
              <w:t>roamingu</w:t>
            </w:r>
            <w:proofErr w:type="spellEnd"/>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 xml:space="preserve">Zabrana prihvaćanja poziva u </w:t>
            </w:r>
            <w:proofErr w:type="spellStart"/>
            <w:r w:rsidRPr="00DC048F">
              <w:rPr>
                <w:rStyle w:val="Bodytext2Calibri105pt"/>
                <w:rFonts w:ascii="Times New Roman" w:hAnsi="Times New Roman" w:cs="Times New Roman"/>
                <w:sz w:val="22"/>
                <w:szCs w:val="22"/>
              </w:rPr>
              <w:t>roamingu</w:t>
            </w:r>
            <w:proofErr w:type="spellEnd"/>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D93657">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Dostava podataka o potrošnji elektroničkom poštom na zahtjev Naručitelja</w:t>
            </w:r>
            <w:r w:rsidR="00C1594E">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797E3C">
        <w:trPr>
          <w:trHeight w:hRule="exact" w:val="454"/>
        </w:trPr>
        <w:tc>
          <w:tcPr>
            <w:tcW w:w="7973" w:type="dxa"/>
            <w:tcBorders>
              <w:top w:val="single" w:sz="4" w:space="0" w:color="auto"/>
              <w:left w:val="single" w:sz="4" w:space="0" w:color="auto"/>
            </w:tcBorders>
            <w:shd w:val="clear" w:color="auto" w:fill="FFFFFF"/>
            <w:vAlign w:val="center"/>
          </w:tcPr>
          <w:p w:rsidR="00D93657" w:rsidRPr="00DC048F" w:rsidRDefault="00BF5F0A" w:rsidP="00797E3C">
            <w:pPr>
              <w:pStyle w:val="Bodytext20"/>
              <w:shd w:val="clear" w:color="auto" w:fill="auto"/>
              <w:spacing w:line="276" w:lineRule="auto"/>
              <w:ind w:firstLine="0"/>
            </w:pPr>
            <w:r>
              <w:rPr>
                <w:rStyle w:val="Bodytext2Calibri105pt"/>
                <w:rFonts w:ascii="Times New Roman" w:hAnsi="Times New Roman" w:cs="Times New Roman"/>
                <w:sz w:val="22"/>
                <w:szCs w:val="22"/>
              </w:rPr>
              <w:t>Elektroničko p</w:t>
            </w:r>
            <w:r w:rsidR="00D93657" w:rsidRPr="00DC048F">
              <w:rPr>
                <w:rStyle w:val="Bodytext2Calibri105pt"/>
                <w:rFonts w:ascii="Times New Roman" w:hAnsi="Times New Roman" w:cs="Times New Roman"/>
                <w:sz w:val="22"/>
                <w:szCs w:val="22"/>
              </w:rPr>
              <w:t>reuzimanje informacija o računima i potrošnji (</w:t>
            </w:r>
            <w:proofErr w:type="spellStart"/>
            <w:r w:rsidR="00D93657" w:rsidRPr="00DC048F">
              <w:rPr>
                <w:rStyle w:val="Bodytext2Calibri105pt"/>
                <w:rFonts w:ascii="Times New Roman" w:hAnsi="Times New Roman" w:cs="Times New Roman"/>
                <w:sz w:val="22"/>
                <w:szCs w:val="22"/>
              </w:rPr>
              <w:t>download</w:t>
            </w:r>
            <w:proofErr w:type="spellEnd"/>
            <w:r w:rsidR="00D93657" w:rsidRPr="00DC048F">
              <w:rPr>
                <w:rStyle w:val="Bodytext2Calibri105pt"/>
                <w:rFonts w:ascii="Times New Roman" w:hAnsi="Times New Roman" w:cs="Times New Roman"/>
                <w:sz w:val="22"/>
                <w:szCs w:val="22"/>
              </w:rPr>
              <w:t xml:space="preserve"> podataka)</w:t>
            </w:r>
            <w:r>
              <w:rPr>
                <w:rStyle w:val="Bodytext2Calibri105pt"/>
                <w:rFonts w:ascii="Times New Roman" w:hAnsi="Times New Roman" w:cs="Times New Roman"/>
                <w:sz w:val="22"/>
                <w:szCs w:val="22"/>
              </w:rPr>
              <w:t>.</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C1594E">
        <w:trPr>
          <w:trHeight w:hRule="exact" w:val="964"/>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Ne naplaćuje se podatkovni promet koji premašuje ukupni promet uključen u pretplatničke tarife iz Tablice 1. Priloga III. Troškovnika. Vrijedi za sve tarife iz Tablice 1. Priloga III Troškovnika. (Ukoliko se dodatni promet ne naplaćuje - odgovoriti sa DA)</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585087" w:rsidRPr="006F5105" w:rsidTr="00C1594E">
        <w:trPr>
          <w:trHeight w:hRule="exact" w:val="624"/>
        </w:trPr>
        <w:tc>
          <w:tcPr>
            <w:tcW w:w="7973" w:type="dxa"/>
            <w:tcBorders>
              <w:top w:val="single" w:sz="4" w:space="0" w:color="auto"/>
              <w:left w:val="single" w:sz="4" w:space="0" w:color="auto"/>
            </w:tcBorders>
            <w:shd w:val="clear" w:color="auto" w:fill="FFFFFF"/>
            <w:vAlign w:val="center"/>
          </w:tcPr>
          <w:p w:rsidR="00585087" w:rsidRPr="00DC048F" w:rsidRDefault="00585087" w:rsidP="00585087">
            <w:pPr>
              <w:pStyle w:val="Bodytext20"/>
              <w:shd w:val="clear" w:color="auto" w:fill="auto"/>
              <w:spacing w:line="276" w:lineRule="auto"/>
              <w:ind w:firstLine="0"/>
              <w:rPr>
                <w:rStyle w:val="Bodytext2Calibri105pt"/>
                <w:rFonts w:ascii="Times New Roman" w:hAnsi="Times New Roman" w:cs="Times New Roman"/>
                <w:sz w:val="22"/>
                <w:szCs w:val="22"/>
              </w:rPr>
            </w:pPr>
            <w:r>
              <w:rPr>
                <w:rStyle w:val="Bodytext2Calibri105pt"/>
                <w:rFonts w:ascii="Times New Roman" w:hAnsi="Times New Roman" w:cs="Times New Roman"/>
                <w:sz w:val="22"/>
                <w:szCs w:val="22"/>
              </w:rPr>
              <w:t>Ne naplaćuje se naknada za uspostavu poziva za sve pretplatničke tarife iz Tablice 1. Priloga II. Troškovnika.</w:t>
            </w:r>
          </w:p>
        </w:tc>
        <w:tc>
          <w:tcPr>
            <w:tcW w:w="826" w:type="dxa"/>
            <w:tcBorders>
              <w:top w:val="single" w:sz="4" w:space="0" w:color="auto"/>
              <w:left w:val="single" w:sz="4" w:space="0" w:color="auto"/>
            </w:tcBorders>
            <w:shd w:val="clear" w:color="auto" w:fill="FFFFFF"/>
            <w:vAlign w:val="center"/>
          </w:tcPr>
          <w:p w:rsidR="00585087" w:rsidRPr="006F5105" w:rsidRDefault="0058508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585087" w:rsidRPr="006F5105" w:rsidRDefault="00585087" w:rsidP="00D93657">
            <w:pPr>
              <w:spacing w:after="240"/>
              <w:rPr>
                <w:rFonts w:ascii="Times New Roman" w:hAnsi="Times New Roman" w:cs="Times New Roman"/>
                <w:sz w:val="24"/>
                <w:szCs w:val="24"/>
              </w:rPr>
            </w:pPr>
          </w:p>
        </w:tc>
      </w:tr>
      <w:tr w:rsidR="00D93657" w:rsidRPr="006F5105" w:rsidTr="00C1594E">
        <w:trPr>
          <w:trHeight w:hRule="exact" w:val="1191"/>
        </w:trPr>
        <w:tc>
          <w:tcPr>
            <w:tcW w:w="7973" w:type="dxa"/>
            <w:tcBorders>
              <w:top w:val="single" w:sz="4" w:space="0" w:color="auto"/>
              <w:left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 xml:space="preserve">Pretplatničkim priključcima u svim tarifama omogućeno je korištenje svih ostalih usluga iz portfelja ponuditelja, koje nisu navedene u Tehničkoj specifikaciji ili Troškovniku, a prema standardnom cjeniku, javno objavljenom na internet stranicama ponuditelja uključujući usluge s dodanom vrijednosti, </w:t>
            </w:r>
            <w:proofErr w:type="spellStart"/>
            <w:r w:rsidRPr="00DC048F">
              <w:rPr>
                <w:rStyle w:val="Bodytext2Calibri105pt"/>
                <w:rFonts w:ascii="Times New Roman" w:hAnsi="Times New Roman" w:cs="Times New Roman"/>
                <w:sz w:val="22"/>
                <w:szCs w:val="22"/>
              </w:rPr>
              <w:t>roaming</w:t>
            </w:r>
            <w:proofErr w:type="spellEnd"/>
            <w:r w:rsidRPr="00DC048F">
              <w:rPr>
                <w:rStyle w:val="Bodytext2Calibri105pt"/>
                <w:rFonts w:ascii="Times New Roman" w:hAnsi="Times New Roman" w:cs="Times New Roman"/>
                <w:sz w:val="22"/>
                <w:szCs w:val="22"/>
              </w:rPr>
              <w:t xml:space="preserve"> usluge i slično.</w:t>
            </w:r>
          </w:p>
        </w:tc>
        <w:tc>
          <w:tcPr>
            <w:tcW w:w="826" w:type="dxa"/>
            <w:tcBorders>
              <w:top w:val="single" w:sz="4" w:space="0" w:color="auto"/>
              <w:lef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D93657" w:rsidRPr="006F5105" w:rsidTr="00C1594E">
        <w:trPr>
          <w:trHeight w:hRule="exact" w:val="624"/>
        </w:trPr>
        <w:tc>
          <w:tcPr>
            <w:tcW w:w="7973" w:type="dxa"/>
            <w:tcBorders>
              <w:top w:val="single" w:sz="4" w:space="0" w:color="auto"/>
              <w:left w:val="single" w:sz="4" w:space="0" w:color="auto"/>
              <w:bottom w:val="single" w:sz="4" w:space="0" w:color="auto"/>
            </w:tcBorders>
            <w:shd w:val="clear" w:color="auto" w:fill="FFFFFF"/>
            <w:vAlign w:val="center"/>
          </w:tcPr>
          <w:p w:rsidR="00D93657" w:rsidRPr="00DC048F" w:rsidRDefault="00D93657" w:rsidP="00D93657">
            <w:pPr>
              <w:pStyle w:val="Bodytext20"/>
              <w:shd w:val="clear" w:color="auto" w:fill="auto"/>
              <w:spacing w:line="276" w:lineRule="auto"/>
              <w:ind w:firstLine="0"/>
            </w:pPr>
            <w:r w:rsidRPr="00DC048F">
              <w:rPr>
                <w:rStyle w:val="Bodytext2Calibri105pt"/>
                <w:rFonts w:ascii="Times New Roman" w:hAnsi="Times New Roman" w:cs="Times New Roman"/>
                <w:sz w:val="22"/>
                <w:szCs w:val="22"/>
              </w:rPr>
              <w:t>Uporaba skraćenih numeracija (VPN kratki kodovi) za biranje i uspostavu glasovnih poziva između pretplatničkih priključaka uključenih u VPN naručitelja.</w:t>
            </w:r>
          </w:p>
        </w:tc>
        <w:tc>
          <w:tcPr>
            <w:tcW w:w="826" w:type="dxa"/>
            <w:tcBorders>
              <w:top w:val="single" w:sz="4" w:space="0" w:color="auto"/>
              <w:left w:val="single" w:sz="4" w:space="0" w:color="auto"/>
              <w:bottom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93657" w:rsidRPr="006F5105" w:rsidRDefault="00D93657" w:rsidP="00D93657">
            <w:pPr>
              <w:spacing w:after="240"/>
              <w:rPr>
                <w:rFonts w:ascii="Times New Roman" w:hAnsi="Times New Roman" w:cs="Times New Roman"/>
                <w:sz w:val="24"/>
                <w:szCs w:val="24"/>
              </w:rPr>
            </w:pPr>
          </w:p>
        </w:tc>
      </w:tr>
      <w:tr w:rsidR="000838AF" w:rsidRPr="006F5105" w:rsidTr="00C1594E">
        <w:trPr>
          <w:trHeight w:hRule="exact" w:val="454"/>
        </w:trPr>
        <w:tc>
          <w:tcPr>
            <w:tcW w:w="7973" w:type="dxa"/>
            <w:tcBorders>
              <w:top w:val="single" w:sz="4" w:space="0" w:color="auto"/>
              <w:left w:val="single" w:sz="4" w:space="0" w:color="auto"/>
              <w:bottom w:val="single" w:sz="4" w:space="0" w:color="auto"/>
            </w:tcBorders>
            <w:shd w:val="clear" w:color="auto" w:fill="FFFFFF"/>
            <w:vAlign w:val="center"/>
          </w:tcPr>
          <w:p w:rsidR="000838AF" w:rsidRPr="00B91FB0" w:rsidRDefault="000838AF" w:rsidP="00D93657">
            <w:pPr>
              <w:pStyle w:val="Bodytext20"/>
              <w:shd w:val="clear" w:color="auto" w:fill="auto"/>
              <w:spacing w:line="276" w:lineRule="auto"/>
              <w:ind w:firstLine="0"/>
              <w:rPr>
                <w:rStyle w:val="Bodytext2Calibri105pt"/>
                <w:rFonts w:ascii="Times New Roman" w:hAnsi="Times New Roman" w:cs="Times New Roman"/>
                <w:sz w:val="22"/>
                <w:szCs w:val="22"/>
              </w:rPr>
            </w:pPr>
            <w:r w:rsidRPr="00B91FB0">
              <w:rPr>
                <w:rStyle w:val="Bodytext2Calibri105pt"/>
                <w:rFonts w:ascii="Times New Roman" w:hAnsi="Times New Roman" w:cs="Times New Roman"/>
                <w:sz w:val="22"/>
                <w:szCs w:val="22"/>
              </w:rPr>
              <w:t>Mogućnost razdvajanja pojedinih usluga na privatni račun (</w:t>
            </w:r>
            <w:proofErr w:type="spellStart"/>
            <w:r w:rsidRPr="00B91FB0">
              <w:rPr>
                <w:rStyle w:val="Bodytext2Calibri105pt"/>
                <w:rFonts w:ascii="Times New Roman" w:hAnsi="Times New Roman" w:cs="Times New Roman"/>
                <w:sz w:val="22"/>
                <w:szCs w:val="22"/>
              </w:rPr>
              <w:t>npr</w:t>
            </w:r>
            <w:proofErr w:type="spellEnd"/>
            <w:r w:rsidRPr="00B91FB0">
              <w:rPr>
                <w:rStyle w:val="Bodytext2Calibri105pt"/>
                <w:rFonts w:ascii="Times New Roman" w:hAnsi="Times New Roman" w:cs="Times New Roman"/>
                <w:sz w:val="22"/>
                <w:szCs w:val="22"/>
              </w:rPr>
              <w:t>. SMS parking, MMS…)</w:t>
            </w:r>
          </w:p>
        </w:tc>
        <w:tc>
          <w:tcPr>
            <w:tcW w:w="826" w:type="dxa"/>
            <w:tcBorders>
              <w:top w:val="single" w:sz="4" w:space="0" w:color="auto"/>
              <w:left w:val="single" w:sz="4" w:space="0" w:color="auto"/>
              <w:bottom w:val="single" w:sz="4" w:space="0" w:color="auto"/>
            </w:tcBorders>
            <w:shd w:val="clear" w:color="auto" w:fill="FFFFFF"/>
            <w:vAlign w:val="center"/>
          </w:tcPr>
          <w:p w:rsidR="000838AF" w:rsidRPr="006F5105" w:rsidRDefault="000838AF"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838AF" w:rsidRPr="006F5105" w:rsidRDefault="000838AF" w:rsidP="00D93657">
            <w:pPr>
              <w:spacing w:after="240"/>
              <w:rPr>
                <w:rFonts w:ascii="Times New Roman" w:hAnsi="Times New Roman" w:cs="Times New Roman"/>
                <w:sz w:val="24"/>
                <w:szCs w:val="24"/>
              </w:rPr>
            </w:pPr>
          </w:p>
        </w:tc>
      </w:tr>
      <w:tr w:rsidR="000838AF" w:rsidRPr="006F5105" w:rsidTr="00C1594E">
        <w:trPr>
          <w:trHeight w:hRule="exact" w:val="624"/>
        </w:trPr>
        <w:tc>
          <w:tcPr>
            <w:tcW w:w="7973" w:type="dxa"/>
            <w:tcBorders>
              <w:top w:val="single" w:sz="4" w:space="0" w:color="auto"/>
              <w:left w:val="single" w:sz="4" w:space="0" w:color="auto"/>
              <w:bottom w:val="single" w:sz="4" w:space="0" w:color="auto"/>
            </w:tcBorders>
            <w:shd w:val="clear" w:color="auto" w:fill="FFFFFF"/>
            <w:vAlign w:val="center"/>
          </w:tcPr>
          <w:p w:rsidR="000838AF" w:rsidRPr="00B91FB0" w:rsidRDefault="000838AF" w:rsidP="00B91FB0">
            <w:pPr>
              <w:pStyle w:val="Bodytext20"/>
              <w:shd w:val="clear" w:color="auto" w:fill="auto"/>
              <w:spacing w:line="276" w:lineRule="auto"/>
              <w:ind w:firstLine="0"/>
              <w:rPr>
                <w:rStyle w:val="Bodytext2Calibri105pt"/>
                <w:rFonts w:ascii="Times New Roman" w:hAnsi="Times New Roman" w:cs="Times New Roman"/>
                <w:sz w:val="22"/>
                <w:szCs w:val="22"/>
              </w:rPr>
            </w:pPr>
            <w:r w:rsidRPr="00B91FB0">
              <w:rPr>
                <w:rStyle w:val="Bodytext2Calibri105pt"/>
                <w:rFonts w:ascii="Times New Roman" w:hAnsi="Times New Roman" w:cs="Times New Roman"/>
                <w:sz w:val="22"/>
                <w:szCs w:val="22"/>
              </w:rPr>
              <w:t xml:space="preserve">Mogućnost postavljanja ograničenja računa (limita) nakon kojeg se daljnja potrošnja naplaćuje na privatnom računu </w:t>
            </w:r>
            <w:r w:rsidR="00B91FB0">
              <w:rPr>
                <w:rStyle w:val="Bodytext2Calibri105pt"/>
                <w:rFonts w:ascii="Times New Roman" w:hAnsi="Times New Roman" w:cs="Times New Roman"/>
                <w:sz w:val="22"/>
                <w:szCs w:val="22"/>
              </w:rPr>
              <w:t>službenika</w:t>
            </w:r>
            <w:r w:rsidRPr="00B91FB0">
              <w:rPr>
                <w:rStyle w:val="Bodytext2Calibri105pt"/>
                <w:rFonts w:ascii="Times New Roman" w:hAnsi="Times New Roman" w:cs="Times New Roman"/>
                <w:sz w:val="22"/>
                <w:szCs w:val="22"/>
              </w:rPr>
              <w:t>.</w:t>
            </w:r>
          </w:p>
        </w:tc>
        <w:tc>
          <w:tcPr>
            <w:tcW w:w="826" w:type="dxa"/>
            <w:tcBorders>
              <w:top w:val="single" w:sz="4" w:space="0" w:color="auto"/>
              <w:left w:val="single" w:sz="4" w:space="0" w:color="auto"/>
              <w:bottom w:val="single" w:sz="4" w:space="0" w:color="auto"/>
            </w:tcBorders>
            <w:shd w:val="clear" w:color="auto" w:fill="FFFFFF"/>
            <w:vAlign w:val="center"/>
          </w:tcPr>
          <w:p w:rsidR="000838AF" w:rsidRPr="006F5105" w:rsidRDefault="000838AF" w:rsidP="00D93657">
            <w:pPr>
              <w:spacing w:after="24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838AF" w:rsidRPr="006F5105" w:rsidRDefault="000838AF" w:rsidP="00D93657">
            <w:pPr>
              <w:spacing w:after="240"/>
              <w:rPr>
                <w:rFonts w:ascii="Times New Roman" w:hAnsi="Times New Roman" w:cs="Times New Roman"/>
                <w:sz w:val="24"/>
                <w:szCs w:val="24"/>
              </w:rPr>
            </w:pPr>
          </w:p>
        </w:tc>
      </w:tr>
    </w:tbl>
    <w:p w:rsidR="00BC40E9" w:rsidRDefault="00BC40E9" w:rsidP="00D93657">
      <w:pPr>
        <w:pStyle w:val="Bodytext110"/>
        <w:shd w:val="clear" w:color="auto" w:fill="auto"/>
        <w:tabs>
          <w:tab w:val="left" w:leader="underscore" w:pos="10014"/>
        </w:tabs>
        <w:spacing w:before="0" w:after="0" w:line="210" w:lineRule="exact"/>
        <w:ind w:left="4580"/>
        <w:rPr>
          <w:rFonts w:ascii="Times New Roman" w:hAnsi="Times New Roman" w:cs="Times New Roman"/>
          <w:color w:val="000000"/>
          <w:sz w:val="24"/>
          <w:szCs w:val="24"/>
          <w:lang w:eastAsia="hr-HR" w:bidi="hr-HR"/>
        </w:rPr>
      </w:pPr>
    </w:p>
    <w:p w:rsidR="00D93657" w:rsidRPr="006F5105" w:rsidRDefault="00D93657" w:rsidP="00D93657">
      <w:pPr>
        <w:pStyle w:val="Bodytext110"/>
        <w:shd w:val="clear" w:color="auto" w:fill="auto"/>
        <w:tabs>
          <w:tab w:val="left" w:leader="underscore" w:pos="10014"/>
        </w:tabs>
        <w:spacing w:before="0" w:after="0" w:line="210" w:lineRule="exact"/>
        <w:ind w:left="4580"/>
        <w:rPr>
          <w:rFonts w:ascii="Times New Roman" w:hAnsi="Times New Roman" w:cs="Times New Roman"/>
          <w:sz w:val="24"/>
          <w:szCs w:val="24"/>
        </w:rPr>
      </w:pPr>
      <w:proofErr w:type="spellStart"/>
      <w:r w:rsidRPr="006F5105">
        <w:rPr>
          <w:rFonts w:ascii="Times New Roman" w:hAnsi="Times New Roman" w:cs="Times New Roman"/>
          <w:color w:val="000000"/>
          <w:sz w:val="24"/>
          <w:szCs w:val="24"/>
          <w:lang w:eastAsia="hr-HR" w:bidi="hr-HR"/>
        </w:rPr>
        <w:t>M.P</w:t>
      </w:r>
      <w:proofErr w:type="spellEnd"/>
      <w:r w:rsidRPr="006F5105">
        <w:rPr>
          <w:rFonts w:ascii="Times New Roman" w:hAnsi="Times New Roman" w:cs="Times New Roman"/>
          <w:color w:val="000000"/>
          <w:sz w:val="24"/>
          <w:szCs w:val="24"/>
          <w:lang w:eastAsia="hr-HR" w:bidi="hr-HR"/>
        </w:rPr>
        <w:t>.</w:t>
      </w:r>
      <w:r w:rsidRPr="006F5105">
        <w:rPr>
          <w:rFonts w:ascii="Times New Roman" w:hAnsi="Times New Roman" w:cs="Times New Roman"/>
          <w:color w:val="000000"/>
          <w:sz w:val="24"/>
          <w:szCs w:val="24"/>
          <w:lang w:eastAsia="hr-HR" w:bidi="hr-HR"/>
        </w:rPr>
        <w:tab/>
      </w:r>
    </w:p>
    <w:p w:rsidR="00D93657" w:rsidRPr="006F5105" w:rsidRDefault="00D93657" w:rsidP="00D93657">
      <w:pPr>
        <w:pStyle w:val="Bodytext110"/>
        <w:shd w:val="clear" w:color="auto" w:fill="auto"/>
        <w:spacing w:before="0" w:after="0" w:line="576" w:lineRule="exact"/>
        <w:jc w:val="right"/>
        <w:rPr>
          <w:rFonts w:ascii="Times New Roman" w:hAnsi="Times New Roman" w:cs="Times New Roman"/>
          <w:sz w:val="24"/>
          <w:szCs w:val="24"/>
        </w:rPr>
      </w:pPr>
      <w:r w:rsidRPr="006F5105">
        <w:rPr>
          <w:rFonts w:ascii="Times New Roman" w:hAnsi="Times New Roman" w:cs="Times New Roman"/>
          <w:color w:val="000000"/>
          <w:sz w:val="24"/>
          <w:szCs w:val="24"/>
          <w:lang w:eastAsia="hr-HR" w:bidi="hr-HR"/>
        </w:rPr>
        <w:t>(ovjera i potpis osobe ovlaštene za zastupanje)</w:t>
      </w:r>
    </w:p>
    <w:p w:rsidR="00D93657" w:rsidRPr="006F5105" w:rsidRDefault="00D93657" w:rsidP="00D93657">
      <w:pPr>
        <w:pStyle w:val="Bodytext110"/>
        <w:shd w:val="clear" w:color="auto" w:fill="auto"/>
        <w:tabs>
          <w:tab w:val="left" w:leader="underscore" w:pos="2515"/>
          <w:tab w:val="left" w:leader="underscore" w:pos="4162"/>
        </w:tabs>
        <w:spacing w:before="0" w:after="0" w:line="576" w:lineRule="exact"/>
        <w:rPr>
          <w:rFonts w:ascii="Times New Roman" w:hAnsi="Times New Roman" w:cs="Times New Roman"/>
          <w:sz w:val="24"/>
          <w:szCs w:val="24"/>
        </w:rPr>
      </w:pPr>
      <w:r w:rsidRPr="006F5105">
        <w:rPr>
          <w:rFonts w:ascii="Times New Roman" w:hAnsi="Times New Roman" w:cs="Times New Roman"/>
          <w:color w:val="000000"/>
          <w:sz w:val="24"/>
          <w:szCs w:val="24"/>
          <w:lang w:eastAsia="hr-HR" w:bidi="hr-HR"/>
        </w:rPr>
        <w:t>U</w:t>
      </w:r>
      <w:r w:rsidRPr="006F5105">
        <w:rPr>
          <w:rFonts w:ascii="Times New Roman" w:hAnsi="Times New Roman" w:cs="Times New Roman"/>
          <w:color w:val="000000"/>
          <w:sz w:val="24"/>
          <w:szCs w:val="24"/>
          <w:lang w:eastAsia="hr-HR" w:bidi="hr-HR"/>
        </w:rPr>
        <w:tab/>
        <w:t>,</w:t>
      </w:r>
      <w:r w:rsidRPr="006F5105">
        <w:rPr>
          <w:rFonts w:ascii="Times New Roman" w:hAnsi="Times New Roman" w:cs="Times New Roman"/>
          <w:color w:val="000000"/>
          <w:sz w:val="24"/>
          <w:szCs w:val="24"/>
          <w:lang w:eastAsia="hr-HR" w:bidi="hr-HR"/>
        </w:rPr>
        <w:tab/>
        <w:t>20</w:t>
      </w:r>
      <w:r>
        <w:rPr>
          <w:rFonts w:ascii="Times New Roman" w:hAnsi="Times New Roman" w:cs="Times New Roman"/>
          <w:color w:val="000000"/>
          <w:sz w:val="24"/>
          <w:szCs w:val="24"/>
          <w:lang w:eastAsia="hr-HR" w:bidi="hr-HR"/>
        </w:rPr>
        <w:t>2</w:t>
      </w:r>
      <w:r w:rsidR="000838AF">
        <w:rPr>
          <w:rFonts w:ascii="Times New Roman" w:hAnsi="Times New Roman" w:cs="Times New Roman"/>
          <w:color w:val="000000"/>
          <w:sz w:val="24"/>
          <w:szCs w:val="24"/>
          <w:lang w:eastAsia="hr-HR" w:bidi="hr-HR"/>
        </w:rPr>
        <w:t>1</w:t>
      </w:r>
      <w:r w:rsidRPr="006F5105">
        <w:rPr>
          <w:rFonts w:ascii="Times New Roman" w:hAnsi="Times New Roman" w:cs="Times New Roman"/>
          <w:color w:val="000000"/>
          <w:sz w:val="24"/>
          <w:szCs w:val="24"/>
          <w:lang w:eastAsia="hr-HR" w:bidi="hr-HR"/>
        </w:rPr>
        <w:t>.</w:t>
      </w:r>
    </w:p>
    <w:p w:rsidR="00D93657" w:rsidRPr="00D93657" w:rsidRDefault="00D93657" w:rsidP="00BC40E9">
      <w:pPr>
        <w:spacing w:after="0"/>
        <w:jc w:val="both"/>
        <w:rPr>
          <w:rFonts w:ascii="Times New Roman" w:hAnsi="Times New Roman" w:cs="Times New Roman"/>
          <w:sz w:val="24"/>
          <w:szCs w:val="24"/>
        </w:rPr>
      </w:pPr>
      <w:r w:rsidRPr="00D93657">
        <w:rPr>
          <w:rFonts w:ascii="Times New Roman" w:hAnsi="Times New Roman" w:cs="Times New Roman"/>
          <w:sz w:val="24"/>
          <w:szCs w:val="24"/>
        </w:rPr>
        <w:t>NAPOMENA:</w:t>
      </w:r>
    </w:p>
    <w:p w:rsidR="00D93657" w:rsidRPr="00D93657" w:rsidRDefault="00D93657" w:rsidP="00D93657">
      <w:pPr>
        <w:spacing w:after="240"/>
        <w:jc w:val="both"/>
        <w:rPr>
          <w:rFonts w:ascii="Times New Roman" w:hAnsi="Times New Roman" w:cs="Times New Roman"/>
          <w:sz w:val="24"/>
          <w:szCs w:val="24"/>
        </w:rPr>
      </w:pPr>
      <w:r w:rsidRPr="00D93657">
        <w:rPr>
          <w:rFonts w:ascii="Times New Roman" w:hAnsi="Times New Roman" w:cs="Times New Roman"/>
          <w:sz w:val="24"/>
          <w:szCs w:val="24"/>
        </w:rPr>
        <w:t>Ponuditelj je dužan ispuniti obrazac Tehnička specifikacija usluge na način da u kolonu "Mogućno</w:t>
      </w:r>
      <w:r>
        <w:rPr>
          <w:rFonts w:ascii="Times New Roman" w:hAnsi="Times New Roman" w:cs="Times New Roman"/>
          <w:sz w:val="24"/>
          <w:szCs w:val="24"/>
        </w:rPr>
        <w:t>st realizacije DA/NE" u svim re</w:t>
      </w:r>
      <w:r w:rsidRPr="00D93657">
        <w:rPr>
          <w:rFonts w:ascii="Times New Roman" w:hAnsi="Times New Roman" w:cs="Times New Roman"/>
          <w:sz w:val="24"/>
          <w:szCs w:val="24"/>
        </w:rPr>
        <w:t>cima Tablice iz Priloga II upiše "DA" ili "NE", ovisno o mogućnostima svoje usluge. Ukoliko svi redovi nemaju odgovor "DA" ili su pojedini redovi neispunjeni, smatrati će se da Ponuditelj ne nudi kompletno traženu uslugu te će se njegova ponuda smatrati nepravilnom i neprihvatljivom. Ponuditelj je dužan uz ponudu priložiti popunjeni te potpisom i pečatom ovjereni od strane odgovorne osobe ponuditelja obrazac Tehnička specifikacija usluge.</w:t>
      </w:r>
    </w:p>
    <w:sectPr w:rsidR="00D93657" w:rsidRPr="00D93657" w:rsidSect="00B431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93657"/>
    <w:rsid w:val="000838AF"/>
    <w:rsid w:val="00093277"/>
    <w:rsid w:val="000A1966"/>
    <w:rsid w:val="00166096"/>
    <w:rsid w:val="003537E2"/>
    <w:rsid w:val="00374BC6"/>
    <w:rsid w:val="00585087"/>
    <w:rsid w:val="007764E9"/>
    <w:rsid w:val="00797E3C"/>
    <w:rsid w:val="008F75C5"/>
    <w:rsid w:val="009D79C2"/>
    <w:rsid w:val="009E537B"/>
    <w:rsid w:val="00AE2311"/>
    <w:rsid w:val="00B06356"/>
    <w:rsid w:val="00B43104"/>
    <w:rsid w:val="00B91FB0"/>
    <w:rsid w:val="00BC40E9"/>
    <w:rsid w:val="00BF5F0A"/>
    <w:rsid w:val="00C1594E"/>
    <w:rsid w:val="00D00AD9"/>
    <w:rsid w:val="00D93657"/>
    <w:rsid w:val="00DC048F"/>
    <w:rsid w:val="00E44804"/>
    <w:rsid w:val="00FA0C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0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dytext2">
    <w:name w:val="Body text (2)_"/>
    <w:basedOn w:val="Zadanifontodlomka"/>
    <w:link w:val="Bodytext20"/>
    <w:rsid w:val="00D93657"/>
    <w:rPr>
      <w:rFonts w:ascii="Times New Roman" w:eastAsia="Times New Roman" w:hAnsi="Times New Roman" w:cs="Times New Roman"/>
      <w:shd w:val="clear" w:color="auto" w:fill="FFFFFF"/>
    </w:rPr>
  </w:style>
  <w:style w:type="character" w:customStyle="1" w:styleId="Bodytext2Calibri11pt">
    <w:name w:val="Body text (2) + Calibri;11 pt"/>
    <w:basedOn w:val="Bodytext2"/>
    <w:rsid w:val="00D93657"/>
    <w:rPr>
      <w:rFonts w:ascii="Calibri" w:eastAsia="Calibri" w:hAnsi="Calibri" w:cs="Calibri"/>
      <w:color w:val="000000"/>
      <w:spacing w:val="0"/>
      <w:w w:val="100"/>
      <w:position w:val="0"/>
      <w:sz w:val="22"/>
      <w:szCs w:val="22"/>
      <w:lang w:val="hr-HR" w:eastAsia="hr-HR" w:bidi="hr-HR"/>
    </w:rPr>
  </w:style>
  <w:style w:type="character" w:customStyle="1" w:styleId="Bodytext2Calibri105pt">
    <w:name w:val="Body text (2) + Calibri;10;5 pt"/>
    <w:basedOn w:val="Bodytext2"/>
    <w:rsid w:val="00D93657"/>
    <w:rPr>
      <w:rFonts w:ascii="Calibri" w:eastAsia="Calibri" w:hAnsi="Calibri" w:cs="Calibri"/>
      <w:color w:val="000000"/>
      <w:spacing w:val="0"/>
      <w:w w:val="100"/>
      <w:position w:val="0"/>
      <w:sz w:val="21"/>
      <w:szCs w:val="21"/>
      <w:lang w:val="hr-HR" w:eastAsia="hr-HR" w:bidi="hr-HR"/>
    </w:rPr>
  </w:style>
  <w:style w:type="paragraph" w:customStyle="1" w:styleId="Bodytext20">
    <w:name w:val="Body text (2)"/>
    <w:basedOn w:val="Normal"/>
    <w:link w:val="Bodytext2"/>
    <w:rsid w:val="00D93657"/>
    <w:pPr>
      <w:widowControl w:val="0"/>
      <w:shd w:val="clear" w:color="auto" w:fill="FFFFFF"/>
      <w:spacing w:after="240" w:line="269" w:lineRule="exact"/>
      <w:ind w:hanging="360"/>
    </w:pPr>
    <w:rPr>
      <w:rFonts w:ascii="Times New Roman" w:eastAsia="Times New Roman" w:hAnsi="Times New Roman" w:cs="Times New Roman"/>
    </w:rPr>
  </w:style>
  <w:style w:type="character" w:customStyle="1" w:styleId="Bodytext11">
    <w:name w:val="Body text (11)_"/>
    <w:basedOn w:val="Zadanifontodlomka"/>
    <w:link w:val="Bodytext110"/>
    <w:rsid w:val="00D93657"/>
    <w:rPr>
      <w:rFonts w:ascii="Calibri" w:eastAsia="Calibri" w:hAnsi="Calibri" w:cs="Calibri"/>
      <w:sz w:val="21"/>
      <w:szCs w:val="21"/>
      <w:shd w:val="clear" w:color="auto" w:fill="FFFFFF"/>
    </w:rPr>
  </w:style>
  <w:style w:type="paragraph" w:customStyle="1" w:styleId="Bodytext110">
    <w:name w:val="Body text (11)"/>
    <w:basedOn w:val="Normal"/>
    <w:link w:val="Bodytext11"/>
    <w:rsid w:val="00D93657"/>
    <w:pPr>
      <w:widowControl w:val="0"/>
      <w:shd w:val="clear" w:color="auto" w:fill="FFFFFF"/>
      <w:spacing w:before="300" w:after="60" w:line="0" w:lineRule="atLeast"/>
      <w:jc w:val="both"/>
    </w:pPr>
    <w:rPr>
      <w:rFonts w:ascii="Calibri" w:eastAsia="Calibri"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Tomaić</dc:creator>
  <cp:lastModifiedBy>Dunja Šalamon</cp:lastModifiedBy>
  <cp:revision>2</cp:revision>
  <dcterms:created xsi:type="dcterms:W3CDTF">2021-09-08T08:19:00Z</dcterms:created>
  <dcterms:modified xsi:type="dcterms:W3CDTF">2021-09-08T08:19:00Z</dcterms:modified>
</cp:coreProperties>
</file>