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/>
      </w:tblPr>
      <w:tblGrid>
        <w:gridCol w:w="2797"/>
        <w:gridCol w:w="7234"/>
      </w:tblGrid>
      <w:tr w:rsidR="00F95A35" w:rsidRPr="00F35E06" w:rsidTr="003A0070">
        <w:trPr>
          <w:trHeight w:val="416"/>
        </w:trPr>
        <w:tc>
          <w:tcPr>
            <w:tcW w:w="10031" w:type="dxa"/>
            <w:gridSpan w:val="2"/>
            <w:vAlign w:val="center"/>
          </w:tcPr>
          <w:p w:rsidR="00F95A35" w:rsidRPr="00F35E06" w:rsidRDefault="00F95A35" w:rsidP="003A0070">
            <w:pPr>
              <w:jc w:val="center"/>
              <w:rPr>
                <w:b/>
                <w:sz w:val="24"/>
                <w:szCs w:val="24"/>
              </w:rPr>
            </w:pPr>
            <w:r w:rsidRPr="00F35E06">
              <w:rPr>
                <w:b/>
                <w:sz w:val="24"/>
                <w:szCs w:val="24"/>
              </w:rPr>
              <w:t>IZVJEŠĆE O PROVEDENOM SAVJETOVANJU SA ZAINTERESIRANOM JAVNOŠĆU</w:t>
            </w:r>
          </w:p>
        </w:tc>
      </w:tr>
      <w:tr w:rsidR="00F95A35" w:rsidRPr="00F35E06" w:rsidTr="00131086">
        <w:trPr>
          <w:trHeight w:val="812"/>
        </w:trPr>
        <w:tc>
          <w:tcPr>
            <w:tcW w:w="10031" w:type="dxa"/>
            <w:gridSpan w:val="2"/>
            <w:vAlign w:val="center"/>
          </w:tcPr>
          <w:p w:rsidR="00F95A35" w:rsidRPr="00F35E06" w:rsidRDefault="00F95A35" w:rsidP="003A0070">
            <w:pPr>
              <w:ind w:left="142"/>
              <w:rPr>
                <w:szCs w:val="22"/>
              </w:rPr>
            </w:pPr>
          </w:p>
          <w:p w:rsidR="003A0070" w:rsidRPr="00F35E06" w:rsidRDefault="00F95A35" w:rsidP="00131086">
            <w:pPr>
              <w:jc w:val="center"/>
              <w:rPr>
                <w:szCs w:val="22"/>
              </w:rPr>
            </w:pPr>
            <w:r w:rsidRPr="00F35E06">
              <w:rPr>
                <w:szCs w:val="22"/>
              </w:rPr>
              <w:t xml:space="preserve">Naziv akta o kojem je savjetovanje provedeno: </w:t>
            </w:r>
          </w:p>
          <w:p w:rsidR="00E05E4B" w:rsidRPr="00342FD0" w:rsidRDefault="00E05E4B" w:rsidP="00E05E4B">
            <w:pPr>
              <w:spacing w:line="276" w:lineRule="auto"/>
              <w:jc w:val="center"/>
              <w:rPr>
                <w:rFonts w:eastAsia="Arial-BoldMT"/>
                <w:b/>
                <w:bCs/>
              </w:rPr>
            </w:pPr>
            <w:r>
              <w:rPr>
                <w:rFonts w:eastAsia="Arial-BoldMT"/>
                <w:b/>
                <w:bCs/>
              </w:rPr>
              <w:t xml:space="preserve">Odluka </w:t>
            </w:r>
            <w:r w:rsidR="000E3F6F">
              <w:rPr>
                <w:rFonts w:eastAsia="Arial-BoldMT"/>
                <w:b/>
                <w:bCs/>
              </w:rPr>
              <w:t xml:space="preserve">o načinu pružanja javnih usluga prikupljanja miješanog komunalnog otpada i biorazgradivog komunalnog otpada na području Grada Varaždina </w:t>
            </w:r>
          </w:p>
          <w:p w:rsidR="00F95A35" w:rsidRPr="00F35E06" w:rsidRDefault="00F95A35" w:rsidP="00131086">
            <w:pPr>
              <w:rPr>
                <w:b/>
                <w:szCs w:val="22"/>
              </w:rPr>
            </w:pPr>
          </w:p>
        </w:tc>
      </w:tr>
      <w:tr w:rsidR="00F95A35" w:rsidRPr="00F35E06" w:rsidTr="003A0070">
        <w:trPr>
          <w:trHeight w:val="845"/>
        </w:trPr>
        <w:tc>
          <w:tcPr>
            <w:tcW w:w="10031" w:type="dxa"/>
            <w:gridSpan w:val="2"/>
            <w:tcBorders>
              <w:bottom w:val="single" w:sz="12" w:space="0" w:color="auto"/>
            </w:tcBorders>
            <w:vAlign w:val="center"/>
          </w:tcPr>
          <w:p w:rsidR="00E05E4B" w:rsidRDefault="00F95A35" w:rsidP="00E05E4B">
            <w:pPr>
              <w:pStyle w:val="Bezproreda"/>
              <w:jc w:val="both"/>
              <w:rPr>
                <w:sz w:val="22"/>
                <w:szCs w:val="22"/>
              </w:rPr>
            </w:pPr>
            <w:r w:rsidRPr="00F35E06">
              <w:rPr>
                <w:sz w:val="22"/>
                <w:szCs w:val="22"/>
              </w:rPr>
              <w:t>Vrijeme trajanja savjetovanja: Savjetovanje je provedeno u trajanju od</w:t>
            </w:r>
            <w:r w:rsidR="00064814" w:rsidRPr="00F35E06">
              <w:rPr>
                <w:sz w:val="22"/>
                <w:szCs w:val="22"/>
              </w:rPr>
              <w:t xml:space="preserve">  </w:t>
            </w:r>
            <w:r w:rsidR="000E3F6F">
              <w:rPr>
                <w:sz w:val="22"/>
                <w:szCs w:val="22"/>
              </w:rPr>
              <w:t>30</w:t>
            </w:r>
            <w:r w:rsidR="00E05E4B">
              <w:rPr>
                <w:sz w:val="22"/>
                <w:szCs w:val="22"/>
              </w:rPr>
              <w:t xml:space="preserve"> </w:t>
            </w:r>
            <w:r w:rsidRPr="00F35E06">
              <w:rPr>
                <w:sz w:val="22"/>
                <w:szCs w:val="22"/>
              </w:rPr>
              <w:t xml:space="preserve">dana odnosno od </w:t>
            </w:r>
            <w:r w:rsidR="000E3F6F">
              <w:rPr>
                <w:sz w:val="22"/>
                <w:szCs w:val="22"/>
              </w:rPr>
              <w:t>22. prosinca 2017.</w:t>
            </w:r>
            <w:r w:rsidR="00F35E06" w:rsidRPr="00F35E06">
              <w:rPr>
                <w:sz w:val="22"/>
                <w:szCs w:val="22"/>
              </w:rPr>
              <w:t xml:space="preserve"> do </w:t>
            </w:r>
            <w:r w:rsidR="000E3F6F">
              <w:rPr>
                <w:sz w:val="22"/>
                <w:szCs w:val="22"/>
              </w:rPr>
              <w:t>22. siječnja 2018. godine</w:t>
            </w:r>
          </w:p>
          <w:p w:rsidR="00F95A35" w:rsidRPr="00F35E06" w:rsidRDefault="00F95A35" w:rsidP="00E05E4B">
            <w:pPr>
              <w:pStyle w:val="Bezproreda"/>
              <w:jc w:val="both"/>
              <w:rPr>
                <w:sz w:val="22"/>
                <w:szCs w:val="22"/>
              </w:rPr>
            </w:pPr>
          </w:p>
        </w:tc>
      </w:tr>
      <w:tr w:rsidR="00F95A35" w:rsidRPr="00F35E06" w:rsidTr="003A0070">
        <w:trPr>
          <w:trHeight w:val="845"/>
        </w:trPr>
        <w:tc>
          <w:tcPr>
            <w:tcW w:w="279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95A35" w:rsidRPr="00F35E06" w:rsidRDefault="00F95A35" w:rsidP="003A0070">
            <w:pPr>
              <w:jc w:val="center"/>
              <w:rPr>
                <w:szCs w:val="22"/>
              </w:rPr>
            </w:pPr>
            <w:r w:rsidRPr="00F35E06">
              <w:rPr>
                <w:szCs w:val="22"/>
              </w:rPr>
              <w:t>Cilj i glavne teme savjetovanja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F95A35" w:rsidRPr="00F35E06" w:rsidRDefault="00F95A35" w:rsidP="003A0070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09"/>
              <w:gridCol w:w="3509"/>
            </w:tblGrid>
            <w:tr w:rsidR="00F95A35" w:rsidRPr="00F35E06" w:rsidTr="003A0070">
              <w:trPr>
                <w:trHeight w:val="523"/>
              </w:trPr>
              <w:tc>
                <w:tcPr>
                  <w:tcW w:w="0" w:type="auto"/>
                  <w:gridSpan w:val="2"/>
                </w:tcPr>
                <w:p w:rsidR="00F95A35" w:rsidRPr="00E05E4B" w:rsidRDefault="00F95A35" w:rsidP="00C26631">
                  <w:pPr>
                    <w:spacing w:line="276" w:lineRule="auto"/>
                    <w:jc w:val="center"/>
                    <w:rPr>
                      <w:rFonts w:eastAsia="Arial-BoldMT"/>
                      <w:b/>
                      <w:bCs/>
                    </w:rPr>
                  </w:pPr>
                  <w:r w:rsidRPr="00F35E06">
                    <w:rPr>
                      <w:szCs w:val="22"/>
                    </w:rPr>
                    <w:t xml:space="preserve">Cilj provođenja savjetovanja sa zainteresiranom javnošću je upoznavanje javnosti s </w:t>
                  </w:r>
                  <w:r w:rsidR="00E05E4B" w:rsidRPr="00E05E4B">
                    <w:rPr>
                      <w:rFonts w:eastAsia="Arial-BoldMT"/>
                      <w:bCs/>
                    </w:rPr>
                    <w:t xml:space="preserve">Odlukom </w:t>
                  </w:r>
                  <w:r w:rsidR="00C26631">
                    <w:rPr>
                      <w:rFonts w:eastAsia="Arial-BoldMT"/>
                      <w:bCs/>
                    </w:rPr>
                    <w:t>načinu pružanja javnih usluga prikupljanja miješanog komunalnog otpada i biorazgradivog komunalnog otpada na području grada Var0žadina</w:t>
                  </w:r>
                  <w:r w:rsidR="00424B9C" w:rsidRPr="00E05E4B">
                    <w:rPr>
                      <w:bCs/>
                      <w:szCs w:val="22"/>
                    </w:rPr>
                    <w:t>,</w:t>
                  </w:r>
                  <w:r w:rsidR="003A0070" w:rsidRPr="00F35E06">
                    <w:rPr>
                      <w:b/>
                      <w:bCs/>
                      <w:szCs w:val="22"/>
                    </w:rPr>
                    <w:t xml:space="preserve"> </w:t>
                  </w:r>
                  <w:r w:rsidR="00B568EF" w:rsidRPr="00F35E06">
                    <w:rPr>
                      <w:szCs w:val="22"/>
                    </w:rPr>
                    <w:t xml:space="preserve"> </w:t>
                  </w:r>
                  <w:r w:rsidRPr="00F35E06">
                    <w:rPr>
                      <w:szCs w:val="22"/>
                    </w:rPr>
                    <w:t xml:space="preserve">te dobivanje mišljenja, primjedbi i prijedloga, te eventualno prihvaćanje zakonitih i stručno utemeljenih prijedloga, primjedbi i mišljenja. </w:t>
                  </w:r>
                </w:p>
              </w:tc>
            </w:tr>
            <w:tr w:rsidR="00F95A35" w:rsidRPr="00F35E06" w:rsidTr="003A0070">
              <w:trPr>
                <w:trHeight w:val="353"/>
              </w:trPr>
              <w:tc>
                <w:tcPr>
                  <w:tcW w:w="0" w:type="auto"/>
                </w:tcPr>
                <w:p w:rsidR="00F95A35" w:rsidRPr="00F35E06" w:rsidRDefault="00F95A35" w:rsidP="003A007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</w:tcPr>
                <w:p w:rsidR="00F95A35" w:rsidRPr="00F35E06" w:rsidRDefault="00F95A35" w:rsidP="003A007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95A35" w:rsidRPr="00F35E06" w:rsidRDefault="00F95A35" w:rsidP="003A0070">
            <w:pPr>
              <w:rPr>
                <w:szCs w:val="22"/>
              </w:rPr>
            </w:pPr>
          </w:p>
        </w:tc>
      </w:tr>
    </w:tbl>
    <w:p w:rsidR="00F95A35" w:rsidRPr="00F35E06" w:rsidRDefault="00F95A35" w:rsidP="00F95A35">
      <w:pPr>
        <w:jc w:val="center"/>
        <w:rPr>
          <w:szCs w:val="22"/>
        </w:rPr>
      </w:pP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75"/>
        <w:gridCol w:w="1843"/>
        <w:gridCol w:w="1134"/>
        <w:gridCol w:w="3686"/>
        <w:gridCol w:w="1134"/>
        <w:gridCol w:w="1559"/>
      </w:tblGrid>
      <w:tr w:rsidR="00F95A35" w:rsidRPr="00F35E06" w:rsidTr="009E5EEE">
        <w:tc>
          <w:tcPr>
            <w:tcW w:w="67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F95A35" w:rsidRPr="00F35E06" w:rsidRDefault="00F95A35" w:rsidP="003A0070">
            <w:pPr>
              <w:jc w:val="center"/>
              <w:rPr>
                <w:szCs w:val="22"/>
              </w:rPr>
            </w:pPr>
            <w:r w:rsidRPr="00F35E06">
              <w:rPr>
                <w:szCs w:val="22"/>
              </w:rPr>
              <w:t>Redni broj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F95A35" w:rsidRPr="00F35E06" w:rsidRDefault="00F95A35" w:rsidP="003A0070">
            <w:pPr>
              <w:jc w:val="center"/>
              <w:rPr>
                <w:szCs w:val="22"/>
              </w:rPr>
            </w:pPr>
            <w:r w:rsidRPr="00F35E06">
              <w:rPr>
                <w:szCs w:val="22"/>
              </w:rPr>
              <w:t>Naziv dionika (pojedinac, organizacija, institucija)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F95A35" w:rsidRPr="00F35E06" w:rsidRDefault="00F95A35" w:rsidP="003A0070">
            <w:pPr>
              <w:jc w:val="center"/>
              <w:rPr>
                <w:szCs w:val="22"/>
              </w:rPr>
            </w:pPr>
            <w:r w:rsidRPr="00F35E06">
              <w:rPr>
                <w:szCs w:val="22"/>
              </w:rPr>
              <w:t>Članak na koji se odnosi primjedba/</w:t>
            </w:r>
          </w:p>
          <w:p w:rsidR="00F95A35" w:rsidRPr="00F35E06" w:rsidRDefault="00F95A35" w:rsidP="003A0070">
            <w:pPr>
              <w:jc w:val="center"/>
              <w:rPr>
                <w:szCs w:val="22"/>
              </w:rPr>
            </w:pPr>
            <w:r w:rsidRPr="00F35E06">
              <w:rPr>
                <w:szCs w:val="22"/>
              </w:rPr>
              <w:t>prijedlog</w:t>
            </w:r>
          </w:p>
        </w:tc>
        <w:tc>
          <w:tcPr>
            <w:tcW w:w="368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95A35" w:rsidRPr="00F35E06" w:rsidRDefault="00F95A35" w:rsidP="003A0070">
            <w:pPr>
              <w:jc w:val="center"/>
              <w:rPr>
                <w:szCs w:val="22"/>
              </w:rPr>
            </w:pPr>
            <w:r w:rsidRPr="00F35E06">
              <w:rPr>
                <w:szCs w:val="22"/>
              </w:rPr>
              <w:t>Tekst primjedbe/prijedloga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F95A35" w:rsidRPr="00F35E06" w:rsidRDefault="00F95A35" w:rsidP="00C73A8D">
            <w:pPr>
              <w:jc w:val="center"/>
              <w:rPr>
                <w:szCs w:val="22"/>
              </w:rPr>
            </w:pPr>
            <w:r w:rsidRPr="00F35E06">
              <w:rPr>
                <w:szCs w:val="22"/>
              </w:rPr>
              <w:t>Prihvaćanje/ neprihvaćanje primjedbe ili prijedloga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F95A35" w:rsidRPr="00F35E06" w:rsidRDefault="00F95A35" w:rsidP="003A0070">
            <w:pPr>
              <w:jc w:val="center"/>
              <w:rPr>
                <w:szCs w:val="22"/>
              </w:rPr>
            </w:pPr>
            <w:r w:rsidRPr="00F35E06">
              <w:rPr>
                <w:szCs w:val="22"/>
              </w:rPr>
              <w:t>Razlozi prihvaćanja/ neprihvaćanja primjedbe ili prijedloga</w:t>
            </w:r>
          </w:p>
          <w:p w:rsidR="00F95A35" w:rsidRPr="00F35E06" w:rsidRDefault="00F95A35" w:rsidP="003A0070">
            <w:pPr>
              <w:jc w:val="center"/>
              <w:rPr>
                <w:szCs w:val="22"/>
              </w:rPr>
            </w:pPr>
          </w:p>
          <w:p w:rsidR="00F95A35" w:rsidRPr="00F35E06" w:rsidRDefault="00F95A35" w:rsidP="003A0070">
            <w:pPr>
              <w:jc w:val="center"/>
              <w:rPr>
                <w:szCs w:val="22"/>
              </w:rPr>
            </w:pPr>
          </w:p>
        </w:tc>
      </w:tr>
      <w:tr w:rsidR="00F95A35" w:rsidRPr="00F35E06" w:rsidTr="000B528F">
        <w:trPr>
          <w:trHeight w:val="6513"/>
        </w:trPr>
        <w:tc>
          <w:tcPr>
            <w:tcW w:w="675" w:type="dxa"/>
            <w:tcBorders>
              <w:top w:val="single" w:sz="4" w:space="0" w:color="auto"/>
              <w:bottom w:val="single" w:sz="18" w:space="0" w:color="auto"/>
            </w:tcBorders>
          </w:tcPr>
          <w:p w:rsidR="00F95A35" w:rsidRPr="00F35E06" w:rsidRDefault="003A0070" w:rsidP="003A0070">
            <w:pPr>
              <w:jc w:val="center"/>
              <w:rPr>
                <w:szCs w:val="22"/>
              </w:rPr>
            </w:pPr>
            <w:r w:rsidRPr="00F35E06">
              <w:rPr>
                <w:szCs w:val="22"/>
              </w:rPr>
              <w:t>1.</w:t>
            </w:r>
          </w:p>
        </w:tc>
        <w:tc>
          <w:tcPr>
            <w:tcW w:w="1843" w:type="dxa"/>
            <w:tcBorders>
              <w:bottom w:val="single" w:sz="18" w:space="0" w:color="auto"/>
            </w:tcBorders>
          </w:tcPr>
          <w:p w:rsidR="00453E93" w:rsidRPr="00F35E06" w:rsidRDefault="0029242C" w:rsidP="00F35E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Prof.dr.sc. Vjeran Strahonja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F95A35" w:rsidRDefault="0029242C" w:rsidP="009E5EEE">
            <w:pPr>
              <w:rPr>
                <w:szCs w:val="22"/>
              </w:rPr>
            </w:pPr>
            <w:r>
              <w:rPr>
                <w:szCs w:val="22"/>
              </w:rPr>
              <w:t>Članak 6.</w:t>
            </w:r>
          </w:p>
          <w:p w:rsidR="00134FF7" w:rsidRDefault="00134FF7" w:rsidP="00134FF7">
            <w:pPr>
              <w:rPr>
                <w:szCs w:val="22"/>
              </w:rPr>
            </w:pPr>
            <w:r>
              <w:rPr>
                <w:szCs w:val="22"/>
              </w:rPr>
              <w:t>Obračun prema volumenu i masi otpada</w:t>
            </w: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29242C" w:rsidRDefault="00134FF7" w:rsidP="009E5EEE">
            <w:pPr>
              <w:rPr>
                <w:szCs w:val="22"/>
              </w:rPr>
            </w:pPr>
            <w:r>
              <w:rPr>
                <w:szCs w:val="22"/>
              </w:rPr>
              <w:t>Č</w:t>
            </w:r>
            <w:r w:rsidR="0029242C">
              <w:rPr>
                <w:szCs w:val="22"/>
              </w:rPr>
              <w:t>lanak 10.</w:t>
            </w: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5744CE" w:rsidRDefault="005744CE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  <w:r>
              <w:rPr>
                <w:szCs w:val="22"/>
              </w:rPr>
              <w:t>Članak 22.</w:t>
            </w: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  <w:r>
              <w:rPr>
                <w:szCs w:val="22"/>
              </w:rPr>
              <w:t>Članak 8.</w:t>
            </w: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8775F0" w:rsidRDefault="008775F0" w:rsidP="009E5EEE">
            <w:pPr>
              <w:rPr>
                <w:szCs w:val="22"/>
              </w:rPr>
            </w:pPr>
          </w:p>
          <w:p w:rsidR="008775F0" w:rsidRDefault="008775F0" w:rsidP="009E5EEE">
            <w:pPr>
              <w:rPr>
                <w:szCs w:val="22"/>
              </w:rPr>
            </w:pPr>
          </w:p>
          <w:p w:rsidR="008775F0" w:rsidRDefault="008775F0" w:rsidP="009E5EEE">
            <w:pPr>
              <w:rPr>
                <w:szCs w:val="22"/>
              </w:rPr>
            </w:pPr>
          </w:p>
          <w:p w:rsidR="008775F0" w:rsidRDefault="008775F0" w:rsidP="009E5EEE">
            <w:pPr>
              <w:rPr>
                <w:szCs w:val="22"/>
              </w:rPr>
            </w:pPr>
          </w:p>
          <w:p w:rsidR="008775F0" w:rsidRDefault="008775F0" w:rsidP="009E5EEE">
            <w:pPr>
              <w:rPr>
                <w:szCs w:val="22"/>
              </w:rPr>
            </w:pPr>
          </w:p>
          <w:p w:rsidR="008775F0" w:rsidRDefault="008775F0" w:rsidP="009E5EEE">
            <w:pPr>
              <w:rPr>
                <w:szCs w:val="22"/>
              </w:rPr>
            </w:pPr>
          </w:p>
          <w:p w:rsidR="008775F0" w:rsidRDefault="008775F0" w:rsidP="009E5EEE">
            <w:pPr>
              <w:rPr>
                <w:szCs w:val="22"/>
              </w:rPr>
            </w:pPr>
          </w:p>
          <w:p w:rsidR="008775F0" w:rsidRDefault="008775F0" w:rsidP="009E5EEE">
            <w:pPr>
              <w:rPr>
                <w:szCs w:val="22"/>
              </w:rPr>
            </w:pPr>
          </w:p>
          <w:p w:rsidR="008775F0" w:rsidRDefault="008775F0" w:rsidP="009E5EEE">
            <w:pPr>
              <w:rPr>
                <w:szCs w:val="22"/>
              </w:rPr>
            </w:pPr>
          </w:p>
          <w:p w:rsidR="008775F0" w:rsidRDefault="008775F0" w:rsidP="009E5EEE">
            <w:pPr>
              <w:rPr>
                <w:szCs w:val="22"/>
              </w:rPr>
            </w:pPr>
          </w:p>
          <w:p w:rsidR="008775F0" w:rsidRDefault="008775F0" w:rsidP="009E5EEE">
            <w:pPr>
              <w:rPr>
                <w:szCs w:val="22"/>
              </w:rPr>
            </w:pPr>
          </w:p>
          <w:p w:rsidR="008775F0" w:rsidRDefault="008775F0" w:rsidP="009E5EEE">
            <w:pPr>
              <w:rPr>
                <w:szCs w:val="22"/>
              </w:rPr>
            </w:pPr>
          </w:p>
          <w:p w:rsidR="008775F0" w:rsidRDefault="008775F0" w:rsidP="009E5EEE">
            <w:pPr>
              <w:rPr>
                <w:szCs w:val="22"/>
              </w:rPr>
            </w:pPr>
          </w:p>
          <w:p w:rsidR="008775F0" w:rsidRDefault="008775F0" w:rsidP="009E5EEE">
            <w:pPr>
              <w:rPr>
                <w:szCs w:val="22"/>
              </w:rPr>
            </w:pPr>
          </w:p>
          <w:p w:rsidR="008775F0" w:rsidRDefault="008775F0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  <w:r>
              <w:rPr>
                <w:szCs w:val="22"/>
              </w:rPr>
              <w:t>Članak 14.</w:t>
            </w: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</w:p>
          <w:p w:rsidR="008775F0" w:rsidRDefault="008775F0" w:rsidP="009E5EEE">
            <w:pPr>
              <w:rPr>
                <w:szCs w:val="22"/>
              </w:rPr>
            </w:pPr>
          </w:p>
          <w:p w:rsidR="008775F0" w:rsidRDefault="008775F0" w:rsidP="009E5EEE">
            <w:pPr>
              <w:rPr>
                <w:szCs w:val="22"/>
              </w:rPr>
            </w:pPr>
          </w:p>
          <w:p w:rsidR="0029242C" w:rsidRDefault="0029242C" w:rsidP="009E5EEE">
            <w:pPr>
              <w:rPr>
                <w:szCs w:val="22"/>
              </w:rPr>
            </w:pPr>
            <w:r>
              <w:rPr>
                <w:szCs w:val="22"/>
              </w:rPr>
              <w:t>Član</w:t>
            </w:r>
            <w:r w:rsidR="008775F0">
              <w:rPr>
                <w:szCs w:val="22"/>
              </w:rPr>
              <w:t>a</w:t>
            </w:r>
            <w:r>
              <w:rPr>
                <w:szCs w:val="22"/>
              </w:rPr>
              <w:t>k 11.</w:t>
            </w:r>
          </w:p>
          <w:p w:rsidR="0029242C" w:rsidRDefault="0029242C" w:rsidP="009E5EEE">
            <w:pPr>
              <w:rPr>
                <w:szCs w:val="22"/>
              </w:rPr>
            </w:pPr>
          </w:p>
          <w:p w:rsidR="0029242C" w:rsidRPr="00F35E06" w:rsidRDefault="0029242C" w:rsidP="009E5EEE">
            <w:pPr>
              <w:rPr>
                <w:szCs w:val="22"/>
              </w:rPr>
            </w:pPr>
          </w:p>
        </w:tc>
        <w:tc>
          <w:tcPr>
            <w:tcW w:w="3686" w:type="dxa"/>
            <w:tcBorders>
              <w:top w:val="single" w:sz="2" w:space="0" w:color="auto"/>
              <w:bottom w:val="single" w:sz="18" w:space="0" w:color="auto"/>
            </w:tcBorders>
          </w:tcPr>
          <w:p w:rsidR="00C26631" w:rsidRDefault="00C26631" w:rsidP="006207C4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Prema čl.6. nacrta odluke jedini kriterij za obračun pružanja javne usluge prikupljanja miješanog komunalnog otpada u obračunskom razdoblju je volumen spremnika za miješani komunalni otpad i broj pražnjenja tog spremnika na obračunskom mjestu. Odluka ne ostavlja mogućnost naplate prema masi otpada, što bi svakako bilo bolje za veće spremnike u </w:t>
            </w:r>
            <w:proofErr w:type="spellStart"/>
            <w:r>
              <w:rPr>
                <w:szCs w:val="22"/>
              </w:rPr>
              <w:t>višestambenim</w:t>
            </w:r>
            <w:proofErr w:type="spellEnd"/>
            <w:r>
              <w:rPr>
                <w:szCs w:val="22"/>
              </w:rPr>
              <w:t xml:space="preserve"> objektima. Osim tehničkih i ekonomskih postoje i javnozdravstven</w:t>
            </w:r>
            <w:r w:rsidR="00CF5C27">
              <w:rPr>
                <w:szCs w:val="22"/>
              </w:rPr>
              <w:t>i aspekti, a gomilanje otpada t</w:t>
            </w:r>
            <w:r>
              <w:rPr>
                <w:szCs w:val="22"/>
              </w:rPr>
              <w:t>a</w:t>
            </w:r>
            <w:r w:rsidR="00CF5C27">
              <w:rPr>
                <w:szCs w:val="22"/>
              </w:rPr>
              <w:t>k</w:t>
            </w:r>
            <w:r>
              <w:rPr>
                <w:szCs w:val="22"/>
              </w:rPr>
              <w:t>o dugo dok se posuda ne napuni nosi rizike smrada i bolesti. Prijedlog je da se Odlukom omogući i naplata prema masi otpada, a na Davatelju usluge je da predloži odgovarajuće tehničko rješenje.</w:t>
            </w:r>
          </w:p>
          <w:p w:rsidR="00C26631" w:rsidRDefault="00C26631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6207C4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C26631" w:rsidRDefault="00C26631" w:rsidP="00B00D80">
            <w:pPr>
              <w:rPr>
                <w:szCs w:val="22"/>
              </w:rPr>
            </w:pPr>
            <w:r>
              <w:rPr>
                <w:szCs w:val="22"/>
              </w:rPr>
              <w:t xml:space="preserve">Nacrt Odluke na nekoliko mjesta spominje mobilno </w:t>
            </w:r>
            <w:proofErr w:type="spellStart"/>
            <w:r>
              <w:rPr>
                <w:szCs w:val="22"/>
              </w:rPr>
              <w:t>reciklažno</w:t>
            </w:r>
            <w:proofErr w:type="spellEnd"/>
            <w:r>
              <w:rPr>
                <w:szCs w:val="22"/>
              </w:rPr>
              <w:t xml:space="preserve"> dvorište (čl.11,13, 14) međutim nigdje nije izričito navedeno da će se mobilno </w:t>
            </w:r>
            <w:proofErr w:type="spellStart"/>
            <w:r>
              <w:rPr>
                <w:szCs w:val="22"/>
              </w:rPr>
              <w:t>reciklažno</w:t>
            </w:r>
            <w:proofErr w:type="spellEnd"/>
            <w:r>
              <w:rPr>
                <w:szCs w:val="22"/>
              </w:rPr>
              <w:t xml:space="preserve"> dvorište uspostaviti i do kojeg roka. </w:t>
            </w:r>
            <w:proofErr w:type="spellStart"/>
            <w:r>
              <w:rPr>
                <w:szCs w:val="22"/>
              </w:rPr>
              <w:t>Reciklažno</w:t>
            </w:r>
            <w:proofErr w:type="spellEnd"/>
            <w:r>
              <w:rPr>
                <w:szCs w:val="22"/>
              </w:rPr>
              <w:t xml:space="preserve"> dvorište na </w:t>
            </w:r>
            <w:proofErr w:type="spellStart"/>
            <w:r>
              <w:rPr>
                <w:szCs w:val="22"/>
              </w:rPr>
              <w:t>Motičnjaku</w:t>
            </w:r>
            <w:proofErr w:type="spellEnd"/>
            <w:r>
              <w:rPr>
                <w:szCs w:val="22"/>
              </w:rPr>
              <w:t>, kao i vjerojatno alternativno, nije rješenje za građane koji nemaju vlastiti automob</w:t>
            </w:r>
            <w:r w:rsidR="00B00D80">
              <w:rPr>
                <w:szCs w:val="22"/>
              </w:rPr>
              <w:t>i</w:t>
            </w:r>
            <w:r>
              <w:rPr>
                <w:szCs w:val="22"/>
              </w:rPr>
              <w:t>l</w:t>
            </w:r>
            <w:r w:rsidR="00B00D80">
              <w:rPr>
                <w:szCs w:val="22"/>
              </w:rPr>
              <w:t xml:space="preserve"> i</w:t>
            </w:r>
            <w:r>
              <w:rPr>
                <w:szCs w:val="22"/>
              </w:rPr>
              <w:t xml:space="preserve"> takvi su građan</w:t>
            </w:r>
            <w:r w:rsidR="00B00D80">
              <w:rPr>
                <w:szCs w:val="22"/>
              </w:rPr>
              <w:t>i diskriminirani u dostupu i ko</w:t>
            </w:r>
            <w:r>
              <w:rPr>
                <w:szCs w:val="22"/>
              </w:rPr>
              <w:t xml:space="preserve">rištenju velikog dijela usluga. Mobilno </w:t>
            </w:r>
            <w:proofErr w:type="spellStart"/>
            <w:r>
              <w:rPr>
                <w:szCs w:val="22"/>
              </w:rPr>
              <w:t>rec</w:t>
            </w:r>
            <w:r w:rsidR="00B00D80">
              <w:rPr>
                <w:szCs w:val="22"/>
              </w:rPr>
              <w:t>iklažno</w:t>
            </w:r>
            <w:proofErr w:type="spellEnd"/>
            <w:r w:rsidR="00B00D80">
              <w:rPr>
                <w:szCs w:val="22"/>
              </w:rPr>
              <w:t xml:space="preserve"> dvorište  je jedino rješenje,a  p</w:t>
            </w:r>
            <w:r>
              <w:rPr>
                <w:szCs w:val="22"/>
              </w:rPr>
              <w:t>o</w:t>
            </w:r>
            <w:r w:rsidR="00B00D80">
              <w:rPr>
                <w:szCs w:val="22"/>
              </w:rPr>
              <w:t>s</w:t>
            </w:r>
            <w:r>
              <w:rPr>
                <w:szCs w:val="22"/>
              </w:rPr>
              <w:t>t</w:t>
            </w:r>
            <w:r w:rsidR="00B00D80">
              <w:rPr>
                <w:szCs w:val="22"/>
              </w:rPr>
              <w:t>o</w:t>
            </w:r>
            <w:r>
              <w:rPr>
                <w:szCs w:val="22"/>
              </w:rPr>
              <w:t>ji kao rutinska usluga u Čakovcu i još nekim gr</w:t>
            </w:r>
            <w:r w:rsidR="00B00D80">
              <w:rPr>
                <w:szCs w:val="22"/>
              </w:rPr>
              <w:t>a</w:t>
            </w:r>
            <w:r>
              <w:rPr>
                <w:szCs w:val="22"/>
              </w:rPr>
              <w:t xml:space="preserve">dovima. </w:t>
            </w:r>
          </w:p>
          <w:p w:rsidR="00B00D80" w:rsidRDefault="00B00D80" w:rsidP="00B00D80">
            <w:pPr>
              <w:rPr>
                <w:szCs w:val="22"/>
              </w:rPr>
            </w:pPr>
            <w:r>
              <w:rPr>
                <w:szCs w:val="22"/>
              </w:rPr>
              <w:t xml:space="preserve">Prijedlog je da se u </w:t>
            </w:r>
            <w:proofErr w:type="spellStart"/>
            <w:r>
              <w:rPr>
                <w:szCs w:val="22"/>
              </w:rPr>
              <w:t>čl</w:t>
            </w:r>
            <w:proofErr w:type="spellEnd"/>
            <w:r>
              <w:rPr>
                <w:szCs w:val="22"/>
              </w:rPr>
              <w:t xml:space="preserve">. 10. odredi uspostava javne usluge mobilnog </w:t>
            </w:r>
            <w:proofErr w:type="spellStart"/>
            <w:r>
              <w:rPr>
                <w:szCs w:val="22"/>
              </w:rPr>
              <w:t>reciklažnog</w:t>
            </w:r>
            <w:proofErr w:type="spellEnd"/>
            <w:r>
              <w:rPr>
                <w:szCs w:val="22"/>
              </w:rPr>
              <w:t xml:space="preserve"> dvorišta u roku od godine dana. </w:t>
            </w:r>
          </w:p>
          <w:p w:rsidR="0029242C" w:rsidRDefault="0029242C" w:rsidP="00B00D80">
            <w:pPr>
              <w:rPr>
                <w:szCs w:val="22"/>
              </w:rPr>
            </w:pPr>
          </w:p>
          <w:p w:rsidR="005744CE" w:rsidRDefault="00B00D80" w:rsidP="00B00D80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5744CE" w:rsidRDefault="005744CE" w:rsidP="00B00D80">
            <w:pPr>
              <w:rPr>
                <w:szCs w:val="22"/>
              </w:rPr>
            </w:pPr>
          </w:p>
          <w:p w:rsidR="00B00D80" w:rsidRDefault="00B00D80" w:rsidP="00B00D80">
            <w:pPr>
              <w:rPr>
                <w:szCs w:val="22"/>
              </w:rPr>
            </w:pPr>
            <w:r>
              <w:rPr>
                <w:szCs w:val="22"/>
              </w:rPr>
              <w:t>Korištenje javne površine za prikupljanje otpada</w:t>
            </w:r>
          </w:p>
          <w:p w:rsidR="00B00D80" w:rsidRDefault="00B00D80" w:rsidP="00B00D80">
            <w:pPr>
              <w:rPr>
                <w:szCs w:val="22"/>
              </w:rPr>
            </w:pPr>
            <w:r>
              <w:rPr>
                <w:szCs w:val="22"/>
              </w:rPr>
              <w:t xml:space="preserve">Uredba o gospodarenju komunalnim otpadom u </w:t>
            </w:r>
            <w:proofErr w:type="spellStart"/>
            <w:r>
              <w:rPr>
                <w:szCs w:val="22"/>
              </w:rPr>
              <w:t>čl</w:t>
            </w:r>
            <w:proofErr w:type="spellEnd"/>
            <w:r>
              <w:rPr>
                <w:szCs w:val="22"/>
              </w:rPr>
              <w:t xml:space="preserve">. 5 (3) omogućava sakupljanje otpadnog papira, metala, plastike, stakla i tekstila putem spremnika postavljenih na javnoj površini. Odluka u </w:t>
            </w:r>
            <w:proofErr w:type="spellStart"/>
            <w:r>
              <w:rPr>
                <w:szCs w:val="22"/>
              </w:rPr>
              <w:t>čl</w:t>
            </w:r>
            <w:proofErr w:type="spellEnd"/>
            <w:r>
              <w:rPr>
                <w:szCs w:val="22"/>
              </w:rPr>
              <w:t xml:space="preserve">. 22. također omogućava korištenje javne površine za prikupljanje otpada u slučaju kad korisnici usluga nemaju mogućnost postavljanja istih na vlastitom zemljištu. Lokaciju za postavu spremnika na javnoj površini zajednički određuje predstavnik  Davatelja usluge, komunalni redar JLS-a, te predstavnik </w:t>
            </w:r>
            <w:proofErr w:type="spellStart"/>
            <w:r>
              <w:rPr>
                <w:szCs w:val="22"/>
              </w:rPr>
              <w:t>Upavitelja</w:t>
            </w:r>
            <w:proofErr w:type="spellEnd"/>
            <w:r>
              <w:rPr>
                <w:szCs w:val="22"/>
              </w:rPr>
              <w:t xml:space="preserve">. Međutim, svima je jasno da javna površina mora biti pripremljena da bi se na nju postavili spremnici, a vjerojatno će trebati i nekakvi objekti kako bis e ograničio  pristup spremnicima i neovlašteno razvlačenje ili odlaganje otpada. Odgovoran odnos prema javnom prostoru i gospodarenju otpadom nalaže da lokacije spremnika za otpad te izvedba kućica na javnim površinama bude dio planiranja i uređenja prostora, a ne ad </w:t>
            </w:r>
            <w:proofErr w:type="spellStart"/>
            <w:r>
              <w:rPr>
                <w:szCs w:val="22"/>
              </w:rPr>
              <w:t>hoc</w:t>
            </w:r>
            <w:proofErr w:type="spellEnd"/>
            <w:r>
              <w:rPr>
                <w:szCs w:val="22"/>
              </w:rPr>
              <w:t xml:space="preserve"> aktivnosti. </w:t>
            </w:r>
          </w:p>
          <w:p w:rsidR="00B00D80" w:rsidRDefault="00B00D80" w:rsidP="00B00D80">
            <w:pPr>
              <w:rPr>
                <w:szCs w:val="22"/>
              </w:rPr>
            </w:pPr>
            <w:r>
              <w:rPr>
                <w:szCs w:val="22"/>
              </w:rPr>
              <w:t xml:space="preserve">Stoga je prijedlog da se tekst Odluke izmijeni na način da lokacije i uvjete postavljanja spremnika na javnu površinu određuju nadležne službe za prostorno planiranje i uređenje prostora, a u suradnji s Davateljem usluga i predstavnicima korisnika. Također je prijedlog da nadležne službe izrade kartu lokacija spremnika na javnim površinama te pripreme rješenje tipskog objekta za smještaj posuda za odlaganje otpada, koji bi zadovoljavao tehničke i estetske uvjete,a  omogućavao bi kontrolirani ulaz te eventualno </w:t>
            </w:r>
            <w:proofErr w:type="spellStart"/>
            <w:r>
              <w:rPr>
                <w:szCs w:val="22"/>
              </w:rPr>
              <w:t>videonadzor</w:t>
            </w:r>
            <w:proofErr w:type="spellEnd"/>
            <w:r>
              <w:rPr>
                <w:szCs w:val="22"/>
              </w:rPr>
              <w:t xml:space="preserve">. </w:t>
            </w:r>
          </w:p>
          <w:p w:rsidR="0029242C" w:rsidRDefault="0029242C" w:rsidP="00B00D80">
            <w:pPr>
              <w:rPr>
                <w:szCs w:val="22"/>
              </w:rPr>
            </w:pPr>
          </w:p>
          <w:p w:rsidR="0029242C" w:rsidRDefault="0029242C" w:rsidP="00B00D80">
            <w:pPr>
              <w:rPr>
                <w:szCs w:val="22"/>
              </w:rPr>
            </w:pPr>
            <w:r>
              <w:rPr>
                <w:szCs w:val="22"/>
              </w:rPr>
              <w:t>Učestalost odvoza otpada</w:t>
            </w:r>
          </w:p>
          <w:p w:rsidR="0029242C" w:rsidRDefault="0029242C" w:rsidP="00B00D80">
            <w:pPr>
              <w:rPr>
                <w:szCs w:val="22"/>
              </w:rPr>
            </w:pPr>
            <w:r>
              <w:rPr>
                <w:szCs w:val="22"/>
              </w:rPr>
              <w:t>Članka 8. Odluke određuje najmanju učestalost odvoza otpada.</w:t>
            </w:r>
          </w:p>
          <w:p w:rsidR="0029242C" w:rsidRDefault="0029242C" w:rsidP="00B00D80">
            <w:pPr>
              <w:rPr>
                <w:szCs w:val="22"/>
              </w:rPr>
            </w:pPr>
            <w:r>
              <w:rPr>
                <w:szCs w:val="22"/>
              </w:rPr>
              <w:t>Prijedlog je povećanje učestalosti sljedećih kategorija otpada:</w:t>
            </w:r>
          </w:p>
          <w:p w:rsidR="0029242C" w:rsidRDefault="0029242C" w:rsidP="00B00D80">
            <w:pPr>
              <w:rPr>
                <w:szCs w:val="22"/>
              </w:rPr>
            </w:pPr>
            <w:r>
              <w:rPr>
                <w:szCs w:val="22"/>
              </w:rPr>
              <w:t>-</w:t>
            </w:r>
            <w:proofErr w:type="spellStart"/>
            <w:r>
              <w:rPr>
                <w:szCs w:val="22"/>
              </w:rPr>
              <w:t>biootpad</w:t>
            </w:r>
            <w:proofErr w:type="spellEnd"/>
            <w:r>
              <w:rPr>
                <w:szCs w:val="22"/>
              </w:rPr>
              <w:t xml:space="preserve"> granje i lišće, skupine A i B, 4 puta godišnje</w:t>
            </w:r>
          </w:p>
          <w:p w:rsidR="0029242C" w:rsidRDefault="0029242C" w:rsidP="00B00D80">
            <w:pPr>
              <w:rPr>
                <w:szCs w:val="22"/>
              </w:rPr>
            </w:pPr>
            <w:r>
              <w:rPr>
                <w:szCs w:val="22"/>
              </w:rPr>
              <w:t xml:space="preserve">Otpadno skalo, skupne A i B, 26 puta </w:t>
            </w:r>
            <w:r>
              <w:rPr>
                <w:szCs w:val="22"/>
              </w:rPr>
              <w:lastRenderedPageBreak/>
              <w:t xml:space="preserve">godišnje, osim ako korisniku nije osiguran spremnik za staklo na javnoj površini. </w:t>
            </w:r>
          </w:p>
          <w:p w:rsidR="0029242C" w:rsidRDefault="0029242C" w:rsidP="00B00D80">
            <w:pPr>
              <w:rPr>
                <w:szCs w:val="22"/>
              </w:rPr>
            </w:pPr>
          </w:p>
          <w:p w:rsidR="008775F0" w:rsidRDefault="008775F0" w:rsidP="00B00D80">
            <w:pPr>
              <w:rPr>
                <w:szCs w:val="22"/>
              </w:rPr>
            </w:pPr>
          </w:p>
          <w:p w:rsidR="008775F0" w:rsidRDefault="008775F0" w:rsidP="00B00D80">
            <w:pPr>
              <w:rPr>
                <w:szCs w:val="22"/>
              </w:rPr>
            </w:pPr>
          </w:p>
          <w:p w:rsidR="008775F0" w:rsidRDefault="008775F0" w:rsidP="00B00D80">
            <w:pPr>
              <w:rPr>
                <w:szCs w:val="22"/>
              </w:rPr>
            </w:pPr>
          </w:p>
          <w:p w:rsidR="008775F0" w:rsidRDefault="008775F0" w:rsidP="00B00D80">
            <w:pPr>
              <w:rPr>
                <w:szCs w:val="22"/>
              </w:rPr>
            </w:pPr>
          </w:p>
          <w:p w:rsidR="008775F0" w:rsidRDefault="008775F0" w:rsidP="00B00D80">
            <w:pPr>
              <w:rPr>
                <w:szCs w:val="22"/>
              </w:rPr>
            </w:pPr>
          </w:p>
          <w:p w:rsidR="008775F0" w:rsidRDefault="008775F0" w:rsidP="00B00D80">
            <w:pPr>
              <w:rPr>
                <w:szCs w:val="22"/>
              </w:rPr>
            </w:pPr>
          </w:p>
          <w:p w:rsidR="008775F0" w:rsidRDefault="008775F0" w:rsidP="00B00D80">
            <w:pPr>
              <w:rPr>
                <w:szCs w:val="22"/>
              </w:rPr>
            </w:pPr>
          </w:p>
          <w:p w:rsidR="008775F0" w:rsidRDefault="008775F0" w:rsidP="00B00D80">
            <w:pPr>
              <w:rPr>
                <w:szCs w:val="22"/>
              </w:rPr>
            </w:pPr>
          </w:p>
          <w:p w:rsidR="008775F0" w:rsidRDefault="008775F0" w:rsidP="00B00D80">
            <w:pPr>
              <w:rPr>
                <w:szCs w:val="22"/>
              </w:rPr>
            </w:pPr>
          </w:p>
          <w:p w:rsidR="008775F0" w:rsidRDefault="008775F0" w:rsidP="00B00D80">
            <w:pPr>
              <w:rPr>
                <w:szCs w:val="22"/>
              </w:rPr>
            </w:pPr>
          </w:p>
          <w:p w:rsidR="008775F0" w:rsidRDefault="008775F0" w:rsidP="00B00D80">
            <w:pPr>
              <w:rPr>
                <w:szCs w:val="22"/>
              </w:rPr>
            </w:pPr>
          </w:p>
          <w:p w:rsidR="008775F0" w:rsidRDefault="008775F0" w:rsidP="00B00D80">
            <w:pPr>
              <w:rPr>
                <w:szCs w:val="22"/>
              </w:rPr>
            </w:pPr>
          </w:p>
          <w:p w:rsidR="008775F0" w:rsidRDefault="008775F0" w:rsidP="00B00D80">
            <w:pPr>
              <w:rPr>
                <w:szCs w:val="22"/>
              </w:rPr>
            </w:pPr>
          </w:p>
          <w:p w:rsidR="008775F0" w:rsidRDefault="008775F0" w:rsidP="00B00D80">
            <w:pPr>
              <w:rPr>
                <w:szCs w:val="22"/>
              </w:rPr>
            </w:pPr>
          </w:p>
          <w:p w:rsidR="008775F0" w:rsidRDefault="008775F0" w:rsidP="00B00D80">
            <w:pPr>
              <w:rPr>
                <w:szCs w:val="22"/>
              </w:rPr>
            </w:pPr>
          </w:p>
          <w:p w:rsidR="008775F0" w:rsidRDefault="008775F0" w:rsidP="00B00D80">
            <w:pPr>
              <w:rPr>
                <w:szCs w:val="22"/>
              </w:rPr>
            </w:pPr>
          </w:p>
          <w:p w:rsidR="0029242C" w:rsidRDefault="0029242C" w:rsidP="00B00D80">
            <w:pPr>
              <w:rPr>
                <w:szCs w:val="22"/>
              </w:rPr>
            </w:pPr>
            <w:r>
              <w:rPr>
                <w:szCs w:val="22"/>
              </w:rPr>
              <w:t xml:space="preserve"> Postupanje sa staklom</w:t>
            </w:r>
          </w:p>
          <w:p w:rsidR="0029242C" w:rsidRDefault="0029242C" w:rsidP="00B00D80">
            <w:pPr>
              <w:rPr>
                <w:szCs w:val="22"/>
              </w:rPr>
            </w:pPr>
            <w:r>
              <w:rPr>
                <w:szCs w:val="22"/>
              </w:rPr>
              <w:t xml:space="preserve">Postupanje sa staklom određeno je u </w:t>
            </w:r>
            <w:proofErr w:type="spellStart"/>
            <w:r>
              <w:rPr>
                <w:szCs w:val="22"/>
              </w:rPr>
              <w:t>čl</w:t>
            </w:r>
            <w:proofErr w:type="spellEnd"/>
            <w:r>
              <w:rPr>
                <w:szCs w:val="22"/>
              </w:rPr>
              <w:t>. 14. Odluke. Time se na nek</w:t>
            </w:r>
            <w:r w:rsidR="000B528F">
              <w:rPr>
                <w:szCs w:val="22"/>
              </w:rPr>
              <w:t>i način legalizira p</w:t>
            </w:r>
            <w:r>
              <w:rPr>
                <w:szCs w:val="22"/>
              </w:rPr>
              <w:t>o</w:t>
            </w:r>
            <w:r w:rsidR="000B528F">
              <w:rPr>
                <w:szCs w:val="22"/>
              </w:rPr>
              <w:t>s</w:t>
            </w:r>
            <w:r>
              <w:rPr>
                <w:szCs w:val="22"/>
              </w:rPr>
              <w:t xml:space="preserve">tojeća praksa da se zvona za </w:t>
            </w:r>
            <w:r w:rsidR="000B528F">
              <w:rPr>
                <w:szCs w:val="22"/>
              </w:rPr>
              <w:t>staklo povlače</w:t>
            </w:r>
            <w:r>
              <w:rPr>
                <w:szCs w:val="22"/>
              </w:rPr>
              <w:t xml:space="preserve">, a građanima su podijeljene plastične vreće. PVC vreće nisu rješenje, kao ni prikupljanje po balkonima i ostavama u razdoblju od 3 mjeseca između dva odvoza. </w:t>
            </w:r>
          </w:p>
          <w:p w:rsidR="0029242C" w:rsidRDefault="0029242C" w:rsidP="00B00D80">
            <w:pPr>
              <w:rPr>
                <w:szCs w:val="22"/>
              </w:rPr>
            </w:pPr>
            <w:r>
              <w:rPr>
                <w:szCs w:val="22"/>
              </w:rPr>
              <w:t>Prij</w:t>
            </w:r>
            <w:r w:rsidR="000B528F">
              <w:rPr>
                <w:szCs w:val="22"/>
              </w:rPr>
              <w:t>e</w:t>
            </w:r>
            <w:r>
              <w:rPr>
                <w:szCs w:val="22"/>
              </w:rPr>
              <w:t>dlog je da se kao primarni</w:t>
            </w:r>
            <w:r w:rsidR="000B528F">
              <w:rPr>
                <w:szCs w:val="22"/>
              </w:rPr>
              <w:t xml:space="preserve"> način prikupljanja otpadnog s</w:t>
            </w:r>
            <w:r>
              <w:rPr>
                <w:szCs w:val="22"/>
              </w:rPr>
              <w:t>t</w:t>
            </w:r>
            <w:r w:rsidR="000B528F">
              <w:rPr>
                <w:szCs w:val="22"/>
              </w:rPr>
              <w:t>ak</w:t>
            </w:r>
            <w:r>
              <w:rPr>
                <w:szCs w:val="22"/>
              </w:rPr>
              <w:t>la odredi odlaganj</w:t>
            </w:r>
            <w:r w:rsidR="000B528F">
              <w:rPr>
                <w:szCs w:val="22"/>
              </w:rPr>
              <w:t>e u spremnike na javnim p</w:t>
            </w:r>
            <w:r>
              <w:rPr>
                <w:szCs w:val="22"/>
              </w:rPr>
              <w:t>ov</w:t>
            </w:r>
            <w:r w:rsidR="000B528F">
              <w:rPr>
                <w:szCs w:val="22"/>
              </w:rPr>
              <w:t>r</w:t>
            </w:r>
            <w:r>
              <w:rPr>
                <w:szCs w:val="22"/>
              </w:rPr>
              <w:t>šinama, što je puno bolj</w:t>
            </w:r>
            <w:r w:rsidR="000B528F">
              <w:rPr>
                <w:szCs w:val="22"/>
              </w:rPr>
              <w:t>e</w:t>
            </w:r>
            <w:r>
              <w:rPr>
                <w:szCs w:val="22"/>
              </w:rPr>
              <w:t xml:space="preserve"> od vreća za staklo. Razmještaj ovim spremnika bi morao</w:t>
            </w:r>
            <w:r w:rsidR="000B528F">
              <w:rPr>
                <w:szCs w:val="22"/>
              </w:rPr>
              <w:t xml:space="preserve"> biti takav da su od svakog kor</w:t>
            </w:r>
            <w:r>
              <w:rPr>
                <w:szCs w:val="22"/>
              </w:rPr>
              <w:t>i</w:t>
            </w:r>
            <w:r w:rsidR="000B528F">
              <w:rPr>
                <w:szCs w:val="22"/>
              </w:rPr>
              <w:t>s</w:t>
            </w:r>
            <w:r>
              <w:rPr>
                <w:szCs w:val="22"/>
              </w:rPr>
              <w:t>n</w:t>
            </w:r>
            <w:r w:rsidR="000B528F">
              <w:rPr>
                <w:szCs w:val="22"/>
              </w:rPr>
              <w:t>i</w:t>
            </w:r>
            <w:r>
              <w:rPr>
                <w:szCs w:val="22"/>
              </w:rPr>
              <w:t>ka na pješačkoj uda</w:t>
            </w:r>
            <w:r w:rsidR="000B528F">
              <w:rPr>
                <w:szCs w:val="22"/>
              </w:rPr>
              <w:t>l</w:t>
            </w:r>
            <w:r>
              <w:rPr>
                <w:szCs w:val="22"/>
              </w:rPr>
              <w:t xml:space="preserve">jenosti </w:t>
            </w:r>
          </w:p>
          <w:p w:rsidR="008775F0" w:rsidRDefault="008775F0" w:rsidP="00B00D80">
            <w:pPr>
              <w:rPr>
                <w:szCs w:val="22"/>
              </w:rPr>
            </w:pPr>
          </w:p>
          <w:p w:rsidR="0029242C" w:rsidRDefault="0029242C" w:rsidP="00B00D80">
            <w:pPr>
              <w:rPr>
                <w:szCs w:val="22"/>
              </w:rPr>
            </w:pPr>
          </w:p>
          <w:p w:rsidR="0029242C" w:rsidRDefault="0029242C" w:rsidP="00B00D80">
            <w:pPr>
              <w:rPr>
                <w:szCs w:val="22"/>
              </w:rPr>
            </w:pPr>
            <w:r>
              <w:rPr>
                <w:szCs w:val="22"/>
              </w:rPr>
              <w:t xml:space="preserve"> Kućno </w:t>
            </w:r>
            <w:proofErr w:type="spellStart"/>
            <w:r>
              <w:rPr>
                <w:szCs w:val="22"/>
              </w:rPr>
              <w:t>kompostiranje</w:t>
            </w:r>
            <w:proofErr w:type="spellEnd"/>
          </w:p>
          <w:p w:rsidR="0029242C" w:rsidRDefault="0029242C" w:rsidP="00B00D80">
            <w:pPr>
              <w:rPr>
                <w:szCs w:val="22"/>
              </w:rPr>
            </w:pPr>
            <w:r>
              <w:rPr>
                <w:szCs w:val="22"/>
              </w:rPr>
              <w:t xml:space="preserve">Kućno </w:t>
            </w:r>
            <w:proofErr w:type="spellStart"/>
            <w:r>
              <w:rPr>
                <w:szCs w:val="22"/>
              </w:rPr>
              <w:t>ko</w:t>
            </w:r>
            <w:r w:rsidR="000B528F">
              <w:rPr>
                <w:szCs w:val="22"/>
              </w:rPr>
              <w:t>mostiranje</w:t>
            </w:r>
            <w:proofErr w:type="spellEnd"/>
            <w:r w:rsidR="000B528F">
              <w:rPr>
                <w:szCs w:val="22"/>
              </w:rPr>
              <w:t xml:space="preserve"> ima mnoge ekonomskih</w:t>
            </w:r>
            <w:r>
              <w:rPr>
                <w:szCs w:val="22"/>
              </w:rPr>
              <w:t xml:space="preserve"> i ekoloških prednosti. Pri</w:t>
            </w:r>
            <w:r w:rsidR="000B528F">
              <w:rPr>
                <w:szCs w:val="22"/>
              </w:rPr>
              <w:t>j</w:t>
            </w:r>
            <w:r>
              <w:rPr>
                <w:szCs w:val="22"/>
              </w:rPr>
              <w:t xml:space="preserve">edlog je da se Odlukom predvidi poticanje kućnog </w:t>
            </w:r>
            <w:proofErr w:type="spellStart"/>
            <w:r>
              <w:rPr>
                <w:szCs w:val="22"/>
              </w:rPr>
              <w:t>kompostiranja</w:t>
            </w:r>
            <w:proofErr w:type="spellEnd"/>
            <w:r>
              <w:rPr>
                <w:szCs w:val="22"/>
              </w:rPr>
              <w:t xml:space="preserve"> na način da Davatelj usluga osigura domaćinstvima kućne </w:t>
            </w:r>
            <w:proofErr w:type="spellStart"/>
            <w:r>
              <w:rPr>
                <w:szCs w:val="22"/>
              </w:rPr>
              <w:t>kompostere</w:t>
            </w:r>
            <w:proofErr w:type="spellEnd"/>
            <w:r>
              <w:rPr>
                <w:szCs w:val="22"/>
              </w:rPr>
              <w:t xml:space="preserve">, kao što osigurava smeđe kante što je odrečeno </w:t>
            </w:r>
            <w:proofErr w:type="spellStart"/>
            <w:r>
              <w:rPr>
                <w:szCs w:val="22"/>
              </w:rPr>
              <w:t>čl</w:t>
            </w:r>
            <w:proofErr w:type="spellEnd"/>
            <w:r>
              <w:rPr>
                <w:szCs w:val="22"/>
              </w:rPr>
              <w:t>. 11. Odluke</w:t>
            </w:r>
          </w:p>
          <w:p w:rsidR="0029242C" w:rsidRPr="00F35E06" w:rsidRDefault="0029242C" w:rsidP="00B00D80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264F3" w:rsidRDefault="00134FF7" w:rsidP="00C73A8D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Ne prihvaća se prijedlog</w:t>
            </w:r>
          </w:p>
          <w:p w:rsidR="00CF5C27" w:rsidRDefault="00CF5C27" w:rsidP="00C73A8D">
            <w:pPr>
              <w:rPr>
                <w:szCs w:val="22"/>
              </w:rPr>
            </w:pPr>
          </w:p>
          <w:p w:rsidR="00CF5C27" w:rsidRDefault="00CF5C27" w:rsidP="00C73A8D">
            <w:pPr>
              <w:rPr>
                <w:szCs w:val="22"/>
              </w:rPr>
            </w:pPr>
          </w:p>
          <w:p w:rsidR="00CF5C27" w:rsidRDefault="00CF5C27" w:rsidP="00C73A8D">
            <w:pPr>
              <w:rPr>
                <w:szCs w:val="22"/>
              </w:rPr>
            </w:pPr>
          </w:p>
          <w:p w:rsidR="00CF5C27" w:rsidRDefault="00CF5C27" w:rsidP="00C73A8D">
            <w:pPr>
              <w:rPr>
                <w:szCs w:val="22"/>
              </w:rPr>
            </w:pPr>
          </w:p>
          <w:p w:rsidR="00CF5C27" w:rsidRDefault="00CF5C27" w:rsidP="00C73A8D">
            <w:pPr>
              <w:rPr>
                <w:szCs w:val="22"/>
              </w:rPr>
            </w:pPr>
          </w:p>
          <w:p w:rsidR="00CF5C27" w:rsidRDefault="00CF5C27" w:rsidP="00C73A8D">
            <w:pPr>
              <w:rPr>
                <w:szCs w:val="22"/>
              </w:rPr>
            </w:pPr>
          </w:p>
          <w:p w:rsidR="00CF5C27" w:rsidRDefault="00CF5C27" w:rsidP="00C73A8D">
            <w:pPr>
              <w:rPr>
                <w:szCs w:val="22"/>
              </w:rPr>
            </w:pPr>
          </w:p>
          <w:p w:rsidR="00CF5C27" w:rsidRDefault="00CF5C27" w:rsidP="00C73A8D">
            <w:pPr>
              <w:rPr>
                <w:szCs w:val="22"/>
              </w:rPr>
            </w:pPr>
          </w:p>
          <w:p w:rsidR="00CF5C27" w:rsidRDefault="00CF5C27" w:rsidP="00C73A8D">
            <w:pPr>
              <w:rPr>
                <w:szCs w:val="22"/>
              </w:rPr>
            </w:pPr>
          </w:p>
          <w:p w:rsidR="00CF5C27" w:rsidRDefault="00CF5C27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CF5C27" w:rsidRDefault="00CF5C27" w:rsidP="00C73A8D">
            <w:pPr>
              <w:rPr>
                <w:szCs w:val="22"/>
              </w:rPr>
            </w:pPr>
            <w:r>
              <w:rPr>
                <w:szCs w:val="22"/>
              </w:rPr>
              <w:t xml:space="preserve">Djelomično se prihvaća. </w:t>
            </w: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CF5C27" w:rsidRDefault="00CF5C27" w:rsidP="00C73A8D">
            <w:pPr>
              <w:rPr>
                <w:szCs w:val="22"/>
              </w:rPr>
            </w:pPr>
          </w:p>
          <w:p w:rsidR="00CF5C27" w:rsidRDefault="00CF5C27" w:rsidP="00C73A8D">
            <w:pPr>
              <w:rPr>
                <w:szCs w:val="22"/>
              </w:rPr>
            </w:pPr>
          </w:p>
          <w:p w:rsidR="00CF5C27" w:rsidRDefault="00CF5C27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5744CE" w:rsidRDefault="005744CE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  <w:r>
              <w:rPr>
                <w:szCs w:val="22"/>
              </w:rPr>
              <w:t>Ne  prihvaća se.</w:t>
            </w: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490C46" w:rsidRDefault="00F3404B" w:rsidP="00C73A8D">
            <w:pPr>
              <w:rPr>
                <w:szCs w:val="22"/>
              </w:rPr>
            </w:pPr>
            <w:r>
              <w:rPr>
                <w:szCs w:val="22"/>
              </w:rPr>
              <w:t>Ne prihvaća se.</w:t>
            </w:r>
          </w:p>
          <w:p w:rsidR="00CF5C27" w:rsidRDefault="00CF5C27" w:rsidP="00C73A8D">
            <w:pPr>
              <w:rPr>
                <w:szCs w:val="22"/>
              </w:rPr>
            </w:pPr>
          </w:p>
          <w:p w:rsidR="00CF5C27" w:rsidRDefault="00CF5C27" w:rsidP="00C73A8D">
            <w:pPr>
              <w:rPr>
                <w:szCs w:val="22"/>
              </w:rPr>
            </w:pPr>
          </w:p>
          <w:p w:rsidR="00490C46" w:rsidRDefault="00490C46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8775F0" w:rsidRDefault="008775F0" w:rsidP="00C73A8D">
            <w:pPr>
              <w:rPr>
                <w:szCs w:val="22"/>
              </w:rPr>
            </w:pPr>
          </w:p>
          <w:p w:rsidR="008775F0" w:rsidRDefault="008775F0" w:rsidP="00C73A8D">
            <w:pPr>
              <w:rPr>
                <w:szCs w:val="22"/>
              </w:rPr>
            </w:pPr>
          </w:p>
          <w:p w:rsidR="008775F0" w:rsidRDefault="008775F0" w:rsidP="00C73A8D">
            <w:pPr>
              <w:rPr>
                <w:szCs w:val="22"/>
              </w:rPr>
            </w:pPr>
          </w:p>
          <w:p w:rsidR="008775F0" w:rsidRDefault="008775F0" w:rsidP="00C73A8D">
            <w:pPr>
              <w:rPr>
                <w:szCs w:val="22"/>
              </w:rPr>
            </w:pPr>
          </w:p>
          <w:p w:rsidR="008775F0" w:rsidRDefault="008775F0" w:rsidP="00C73A8D">
            <w:pPr>
              <w:rPr>
                <w:szCs w:val="22"/>
              </w:rPr>
            </w:pPr>
          </w:p>
          <w:p w:rsidR="008775F0" w:rsidRDefault="008775F0" w:rsidP="00C73A8D">
            <w:pPr>
              <w:rPr>
                <w:szCs w:val="22"/>
              </w:rPr>
            </w:pPr>
          </w:p>
          <w:p w:rsidR="008775F0" w:rsidRDefault="008775F0" w:rsidP="00C73A8D">
            <w:pPr>
              <w:rPr>
                <w:szCs w:val="22"/>
              </w:rPr>
            </w:pPr>
          </w:p>
          <w:p w:rsidR="008775F0" w:rsidRDefault="008775F0" w:rsidP="00C73A8D">
            <w:pPr>
              <w:rPr>
                <w:szCs w:val="22"/>
              </w:rPr>
            </w:pPr>
          </w:p>
          <w:p w:rsidR="008775F0" w:rsidRDefault="008775F0" w:rsidP="00C73A8D">
            <w:pPr>
              <w:rPr>
                <w:szCs w:val="22"/>
              </w:rPr>
            </w:pPr>
          </w:p>
          <w:p w:rsidR="008775F0" w:rsidRDefault="008775F0" w:rsidP="00C73A8D">
            <w:pPr>
              <w:rPr>
                <w:szCs w:val="22"/>
              </w:rPr>
            </w:pPr>
          </w:p>
          <w:p w:rsidR="008775F0" w:rsidRDefault="008775F0" w:rsidP="00C73A8D">
            <w:pPr>
              <w:rPr>
                <w:szCs w:val="22"/>
              </w:rPr>
            </w:pPr>
          </w:p>
          <w:p w:rsidR="008775F0" w:rsidRDefault="008775F0" w:rsidP="00C73A8D">
            <w:pPr>
              <w:rPr>
                <w:szCs w:val="22"/>
              </w:rPr>
            </w:pPr>
          </w:p>
          <w:p w:rsidR="008775F0" w:rsidRDefault="008775F0" w:rsidP="00C73A8D">
            <w:pPr>
              <w:rPr>
                <w:szCs w:val="22"/>
              </w:rPr>
            </w:pPr>
          </w:p>
          <w:p w:rsidR="008775F0" w:rsidRDefault="008775F0" w:rsidP="00C73A8D">
            <w:pPr>
              <w:rPr>
                <w:szCs w:val="22"/>
              </w:rPr>
            </w:pPr>
          </w:p>
          <w:p w:rsidR="008775F0" w:rsidRDefault="008775F0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  <w:r>
              <w:rPr>
                <w:szCs w:val="22"/>
              </w:rPr>
              <w:t>Ne prihvaća se.</w:t>
            </w:r>
          </w:p>
          <w:p w:rsidR="00F3404B" w:rsidRDefault="00F3404B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F3404B" w:rsidRDefault="00F3404B" w:rsidP="00C73A8D">
            <w:pPr>
              <w:rPr>
                <w:szCs w:val="22"/>
              </w:rPr>
            </w:pPr>
          </w:p>
          <w:p w:rsidR="008775F0" w:rsidRDefault="008775F0" w:rsidP="00C73A8D">
            <w:pPr>
              <w:rPr>
                <w:szCs w:val="22"/>
              </w:rPr>
            </w:pPr>
          </w:p>
          <w:p w:rsidR="00F3404B" w:rsidRPr="00F35E06" w:rsidRDefault="00F3404B" w:rsidP="00C73A8D">
            <w:pPr>
              <w:rPr>
                <w:szCs w:val="22"/>
              </w:rPr>
            </w:pPr>
            <w:r>
              <w:rPr>
                <w:szCs w:val="22"/>
              </w:rPr>
              <w:t>Ne prihvaća se.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:rsidR="007303EF" w:rsidRDefault="00CF5C27" w:rsidP="00CF5C27">
            <w:pPr>
              <w:pStyle w:val="Odlomakpopisa"/>
              <w:ind w:left="0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Davatelj javne usluge dužan je temeljem odredbe članka 32. </w:t>
            </w:r>
            <w:r w:rsidR="00134FF7">
              <w:rPr>
                <w:szCs w:val="22"/>
              </w:rPr>
              <w:t>stavak 1.</w:t>
            </w:r>
            <w:r>
              <w:rPr>
                <w:szCs w:val="22"/>
              </w:rPr>
              <w:t xml:space="preserve"> točke 1. i 4. </w:t>
            </w:r>
            <w:r w:rsidR="00134FF7">
              <w:rPr>
                <w:szCs w:val="22"/>
              </w:rPr>
              <w:t xml:space="preserve"> Zakona o održivom gospodarenju otpada</w:t>
            </w:r>
            <w:r>
              <w:rPr>
                <w:szCs w:val="22"/>
              </w:rPr>
              <w:t xml:space="preserve"> udovoljavati uvjetima za prijevoz vrste i količine otpada koje prikuplja odnosno raspolagati nužnim tehničkim resursima potrebnim za obavljanje propisanih poslova. Također člankom 33.s t, 1. istog Zakona Davatelj javne usluge dužan je obračunati </w:t>
            </w:r>
            <w:r>
              <w:rPr>
                <w:szCs w:val="22"/>
              </w:rPr>
              <w:lastRenderedPageBreak/>
              <w:t>cijenu javne usluge na način kojim se osigurava ekonomski održivo poslovanje te sigurnost, redovitost i kvalitetu pružanja te javne usluge. Davatelj javne usluge tehnološki je opremljen za prikupljanje otpada sukladno odredbi članka 8. Pravilnika o gospodarenju otpadom (NN 117/17).</w:t>
            </w:r>
          </w:p>
          <w:p w:rsidR="00CF5C27" w:rsidRDefault="00CF5C27" w:rsidP="00CF5C27">
            <w:pPr>
              <w:pStyle w:val="Odlomakpopisa"/>
              <w:ind w:left="0"/>
              <w:rPr>
                <w:szCs w:val="22"/>
              </w:rPr>
            </w:pPr>
          </w:p>
          <w:p w:rsidR="00CF5C27" w:rsidRDefault="00CF5C27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CF5C27" w:rsidRDefault="00CF5C27" w:rsidP="00CF5C27">
            <w:pPr>
              <w:pStyle w:val="Odlomakpopisa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Grad Varaždin izvršit će obvezu da za naselja u kojima se ne nalazi osigura funkcioniranje istog posredstvom mobilne jedinice koje se smatra </w:t>
            </w:r>
            <w:proofErr w:type="spellStart"/>
            <w:r>
              <w:rPr>
                <w:szCs w:val="22"/>
              </w:rPr>
              <w:t>reciklažnim</w:t>
            </w:r>
            <w:proofErr w:type="spellEnd"/>
            <w:r>
              <w:rPr>
                <w:szCs w:val="22"/>
              </w:rPr>
              <w:t xml:space="preserve"> dvorištem (</w:t>
            </w:r>
            <w:proofErr w:type="spellStart"/>
            <w:r>
              <w:rPr>
                <w:szCs w:val="22"/>
              </w:rPr>
              <w:t>čl</w:t>
            </w:r>
            <w:proofErr w:type="spellEnd"/>
            <w:r>
              <w:rPr>
                <w:szCs w:val="22"/>
              </w:rPr>
              <w:t>. 35. st. 2. toč.4. Zakona o održivom gospodarenju otpadom.</w:t>
            </w:r>
            <w:r w:rsidR="00490C46">
              <w:rPr>
                <w:szCs w:val="22"/>
              </w:rPr>
              <w:t xml:space="preserve"> Izvršenje obveze Grad Varaždin osigurat će sredstvima iz EU fondova nakon što resorna Ministarstva raspišu natječaj iz Operativnog programa konkurentnosti </w:t>
            </w:r>
            <w:r w:rsidR="00490C46">
              <w:rPr>
                <w:szCs w:val="22"/>
              </w:rPr>
              <w:lastRenderedPageBreak/>
              <w:t>i kohezije 2014.-2020.</w:t>
            </w:r>
          </w:p>
          <w:p w:rsidR="00490C46" w:rsidRDefault="00490C46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490C46" w:rsidRDefault="00490C46" w:rsidP="00CF5C27">
            <w:pPr>
              <w:pStyle w:val="Odlomakpopisa"/>
              <w:ind w:left="0"/>
              <w:rPr>
                <w:szCs w:val="22"/>
              </w:rPr>
            </w:pPr>
          </w:p>
          <w:p w:rsidR="00490C46" w:rsidRDefault="00490C46" w:rsidP="00CF5C27">
            <w:pPr>
              <w:pStyle w:val="Odlomakpopisa"/>
              <w:ind w:left="0"/>
              <w:rPr>
                <w:szCs w:val="22"/>
              </w:rPr>
            </w:pPr>
            <w:r>
              <w:rPr>
                <w:szCs w:val="22"/>
              </w:rPr>
              <w:t>Odlukom Grada Varaždina  o jednostavnim i drugim građevinama, a koje Gradsko vijeće treba donijeti na osnovi Pravilnika o jednostavnim građevinama i radovima  (NN 112/17) odrediti će se uvjeti za postavu komunalne opreme (kontejnera za komunalni otpad na javnoj površini)</w:t>
            </w:r>
          </w:p>
          <w:p w:rsidR="00F3404B" w:rsidRDefault="00F3404B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5744CE" w:rsidRDefault="005744CE" w:rsidP="00CF5C27">
            <w:pPr>
              <w:pStyle w:val="Odlomakpopisa"/>
              <w:pBdr>
                <w:bottom w:val="single" w:sz="6" w:space="1" w:color="auto"/>
              </w:pBdr>
              <w:ind w:left="0"/>
              <w:rPr>
                <w:szCs w:val="22"/>
              </w:rPr>
            </w:pPr>
          </w:p>
          <w:p w:rsidR="00F3404B" w:rsidRDefault="00F3404B" w:rsidP="00CF5C27">
            <w:pPr>
              <w:pStyle w:val="Odlomakpopisa"/>
              <w:pBdr>
                <w:bottom w:val="single" w:sz="12" w:space="1" w:color="auto"/>
              </w:pBdr>
              <w:ind w:left="0"/>
              <w:rPr>
                <w:szCs w:val="22"/>
              </w:rPr>
            </w:pPr>
            <w:r>
              <w:rPr>
                <w:szCs w:val="22"/>
              </w:rPr>
              <w:t xml:space="preserve">Uredbom o gospodarenju komunalnim otpadom propisana je minimalna učestalost odvoza za </w:t>
            </w:r>
            <w:proofErr w:type="spellStart"/>
            <w:r>
              <w:rPr>
                <w:szCs w:val="22"/>
              </w:rPr>
              <w:lastRenderedPageBreak/>
              <w:t>biootpad</w:t>
            </w:r>
            <w:proofErr w:type="spellEnd"/>
            <w:r>
              <w:rPr>
                <w:szCs w:val="22"/>
              </w:rPr>
              <w:t xml:space="preserve"> , otpadni papir i karton i miješani komunalni otpad. Grad Varaždin svojom odlukom utvrđuje  broj odvoza prema stvarnim potrebama te smatramo da je predloženi broj odvoza zadovoljava potrebe.</w:t>
            </w:r>
          </w:p>
          <w:p w:rsidR="008775F0" w:rsidRDefault="008775F0" w:rsidP="00CF5C27">
            <w:pPr>
              <w:pStyle w:val="Odlomakpopisa"/>
              <w:pBdr>
                <w:bottom w:val="single" w:sz="12" w:space="1" w:color="auto"/>
              </w:pBdr>
              <w:ind w:left="0"/>
              <w:rPr>
                <w:szCs w:val="22"/>
              </w:rPr>
            </w:pPr>
          </w:p>
          <w:p w:rsidR="00F3404B" w:rsidRDefault="00F3404B" w:rsidP="00CF5C27">
            <w:pPr>
              <w:pStyle w:val="Odlomakpopisa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  Temeljem odredbe </w:t>
            </w:r>
            <w:proofErr w:type="spellStart"/>
            <w:r>
              <w:rPr>
                <w:szCs w:val="22"/>
              </w:rPr>
              <w:t>čl</w:t>
            </w:r>
            <w:proofErr w:type="spellEnd"/>
            <w:r>
              <w:rPr>
                <w:szCs w:val="22"/>
              </w:rPr>
              <w:t xml:space="preserve">. 5. stavka 3. </w:t>
            </w:r>
            <w:proofErr w:type="spellStart"/>
            <w:r>
              <w:rPr>
                <w:szCs w:val="22"/>
              </w:rPr>
              <w:t>toč</w:t>
            </w:r>
            <w:proofErr w:type="spellEnd"/>
            <w:r>
              <w:rPr>
                <w:szCs w:val="22"/>
              </w:rPr>
              <w:t xml:space="preserve">. 1. Urede o komunalnom otpadu </w:t>
            </w:r>
            <w:proofErr w:type="spellStart"/>
            <w:r>
              <w:rPr>
                <w:szCs w:val="22"/>
              </w:rPr>
              <w:t>reciklabilni</w:t>
            </w:r>
            <w:proofErr w:type="spellEnd"/>
            <w:r>
              <w:rPr>
                <w:szCs w:val="22"/>
              </w:rPr>
              <w:t xml:space="preserve"> komunalni otpad skuplja kod korisnika usluge na obračunskom mjestu. </w:t>
            </w:r>
          </w:p>
          <w:p w:rsidR="008775F0" w:rsidRDefault="008775F0" w:rsidP="00CF5C27">
            <w:pPr>
              <w:pStyle w:val="Odlomakpopisa"/>
              <w:ind w:left="0"/>
              <w:rPr>
                <w:szCs w:val="22"/>
              </w:rPr>
            </w:pPr>
          </w:p>
          <w:p w:rsidR="008775F0" w:rsidRDefault="008775F0" w:rsidP="00CF5C27">
            <w:pPr>
              <w:pStyle w:val="Odlomakpopisa"/>
              <w:ind w:left="0"/>
              <w:rPr>
                <w:szCs w:val="22"/>
              </w:rPr>
            </w:pPr>
          </w:p>
          <w:p w:rsidR="008775F0" w:rsidRDefault="008775F0" w:rsidP="00CF5C27">
            <w:pPr>
              <w:pStyle w:val="Odlomakpopisa"/>
              <w:ind w:left="0"/>
              <w:rPr>
                <w:szCs w:val="22"/>
              </w:rPr>
            </w:pPr>
          </w:p>
          <w:p w:rsidR="00F3404B" w:rsidRDefault="00F3404B" w:rsidP="00CF5C27">
            <w:pPr>
              <w:pStyle w:val="Odlomakpopisa"/>
              <w:ind w:left="0"/>
              <w:rPr>
                <w:szCs w:val="22"/>
              </w:rPr>
            </w:pPr>
            <w:r>
              <w:rPr>
                <w:szCs w:val="22"/>
              </w:rPr>
              <w:t>_________</w:t>
            </w:r>
          </w:p>
          <w:p w:rsidR="008775F0" w:rsidRDefault="008775F0" w:rsidP="00CF5C27">
            <w:pPr>
              <w:pStyle w:val="Odlomakpopisa"/>
              <w:ind w:left="0"/>
              <w:rPr>
                <w:szCs w:val="22"/>
              </w:rPr>
            </w:pPr>
          </w:p>
          <w:p w:rsidR="008775F0" w:rsidRDefault="008775F0" w:rsidP="00CF5C27">
            <w:pPr>
              <w:pStyle w:val="Odlomakpopisa"/>
              <w:ind w:left="0"/>
              <w:rPr>
                <w:szCs w:val="22"/>
              </w:rPr>
            </w:pPr>
          </w:p>
          <w:p w:rsidR="008775F0" w:rsidRDefault="008775F0" w:rsidP="00CF5C27">
            <w:pPr>
              <w:pStyle w:val="Odlomakpopisa"/>
              <w:ind w:left="0"/>
              <w:rPr>
                <w:szCs w:val="22"/>
              </w:rPr>
            </w:pPr>
          </w:p>
          <w:p w:rsidR="00CF5C27" w:rsidRPr="00F35E06" w:rsidRDefault="00F3404B" w:rsidP="00CF5C27">
            <w:pPr>
              <w:pStyle w:val="Odlomakpopisa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Obveza davatelja javne usluge je korisniku usluge osigurati spremnik za primopredaju miješanog komunalnog otpada biorazgradivog komunalnog otpada i </w:t>
            </w:r>
            <w:proofErr w:type="spellStart"/>
            <w:r>
              <w:rPr>
                <w:szCs w:val="22"/>
              </w:rPr>
              <w:t>reciklabilnog</w:t>
            </w:r>
            <w:proofErr w:type="spellEnd"/>
            <w:r>
              <w:rPr>
                <w:szCs w:val="22"/>
              </w:rPr>
              <w:t xml:space="preserve"> komunalnog otpada. Grad Varaždin , a niti davatelj javne usluge </w:t>
            </w:r>
            <w:r>
              <w:rPr>
                <w:szCs w:val="22"/>
              </w:rPr>
              <w:lastRenderedPageBreak/>
              <w:t xml:space="preserve">nemaju zakonsku obvezu osigurati kućne </w:t>
            </w:r>
            <w:proofErr w:type="spellStart"/>
            <w:r>
              <w:rPr>
                <w:szCs w:val="22"/>
              </w:rPr>
              <w:t>kompostere</w:t>
            </w:r>
            <w:proofErr w:type="spellEnd"/>
            <w:r>
              <w:rPr>
                <w:szCs w:val="22"/>
              </w:rPr>
              <w:t xml:space="preserve"> za korisnike koji će u Izjavi naznačiti da ne žele koristiti  javnu uslugu biorazgradivog komunalnog otpada. </w:t>
            </w:r>
          </w:p>
        </w:tc>
      </w:tr>
      <w:tr w:rsidR="00F35E06" w:rsidRPr="00F35E06" w:rsidTr="00AD0F5C">
        <w:trPr>
          <w:trHeight w:val="1831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F35E06" w:rsidRPr="00F35E06" w:rsidRDefault="006207C4" w:rsidP="003A007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lastRenderedPageBreak/>
              <w:t>2.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E06" w:rsidRDefault="00424B9C" w:rsidP="00F35E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E06" w:rsidRPr="00F35E06" w:rsidRDefault="006207C4" w:rsidP="00F35E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35E06" w:rsidRPr="00F35E06" w:rsidRDefault="00AD0F5C" w:rsidP="009E5EEE">
            <w:pPr>
              <w:rPr>
                <w:szCs w:val="22"/>
              </w:rPr>
            </w:pPr>
            <w:r>
              <w:rPr>
                <w:szCs w:val="22"/>
              </w:rPr>
              <w:t xml:space="preserve">U prilogu dostavljamo naš prijedlog Odluke koji se u odnosu na objavljeni nacrt Odluke razlikuje u formi. Naime predloženi nacrt nije objavljen u formi Odluke jer </w:t>
            </w:r>
            <w:proofErr w:type="spellStart"/>
            <w:r>
              <w:rPr>
                <w:szCs w:val="22"/>
              </w:rPr>
              <w:t>npr</w:t>
            </w:r>
            <w:proofErr w:type="spellEnd"/>
            <w:r>
              <w:rPr>
                <w:szCs w:val="22"/>
              </w:rPr>
              <w:t xml:space="preserve">. odredbe u člancima nisu podijeljene na stavke i </w:t>
            </w:r>
            <w:proofErr w:type="spellStart"/>
            <w:r>
              <w:rPr>
                <w:szCs w:val="22"/>
              </w:rPr>
              <w:t>sl</w:t>
            </w:r>
            <w:proofErr w:type="spellEnd"/>
            <w:r>
              <w:rPr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35E06" w:rsidRPr="00F35E06" w:rsidRDefault="00AD0F5C" w:rsidP="007303EF">
            <w:pPr>
              <w:rPr>
                <w:szCs w:val="22"/>
              </w:rPr>
            </w:pPr>
            <w:r>
              <w:rPr>
                <w:szCs w:val="22"/>
              </w:rPr>
              <w:t>Prihvaća se.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F35E06" w:rsidRDefault="00AD0F5C" w:rsidP="005E7564">
            <w:pPr>
              <w:pStyle w:val="Odlomakpopisa"/>
              <w:ind w:left="0"/>
              <w:rPr>
                <w:szCs w:val="22"/>
              </w:rPr>
            </w:pPr>
            <w:r>
              <w:rPr>
                <w:szCs w:val="22"/>
              </w:rPr>
              <w:t xml:space="preserve"> U cijeloj odluci radi lakšeg praćenja stavaka isti će se označiti. </w:t>
            </w:r>
          </w:p>
          <w:p w:rsidR="00AD0F5C" w:rsidRPr="00F35E06" w:rsidRDefault="00AD0F5C" w:rsidP="005E7564">
            <w:pPr>
              <w:pStyle w:val="Odlomakpopisa"/>
              <w:ind w:left="0"/>
              <w:rPr>
                <w:szCs w:val="22"/>
              </w:rPr>
            </w:pPr>
          </w:p>
        </w:tc>
      </w:tr>
      <w:tr w:rsidR="00AD0F5C" w:rsidRPr="00F35E06" w:rsidTr="00AD0F5C">
        <w:trPr>
          <w:trHeight w:val="1210"/>
        </w:trPr>
        <w:tc>
          <w:tcPr>
            <w:tcW w:w="6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D0F5C" w:rsidRDefault="00AD0F5C" w:rsidP="003A007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3.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D0F5C" w:rsidRDefault="00AD0F5C" w:rsidP="00F35E06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D0F5C" w:rsidRPr="00CE3DA3" w:rsidRDefault="00AD0F5C" w:rsidP="00F35E06">
            <w:pPr>
              <w:jc w:val="center"/>
              <w:rPr>
                <w:szCs w:val="22"/>
              </w:rPr>
            </w:pPr>
            <w:r w:rsidRPr="00CE3DA3">
              <w:rPr>
                <w:szCs w:val="22"/>
              </w:rPr>
              <w:t>Članak 23.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D25F70" w:rsidRPr="00CE3DA3" w:rsidRDefault="00D25F70" w:rsidP="00D25F70">
            <w:pPr>
              <w:pStyle w:val="Odlomakpopisa"/>
              <w:contextualSpacing w:val="0"/>
            </w:pPr>
            <w:r w:rsidRPr="00CE3DA3">
              <w:t>Predlaže se izmjena članka 23. na način da se već ovom odlukom reguliraju kriteriji za određivanje korisnika usluge u čije ime Grad Varaždin  preuzima obvezu plaćanja cijene  za javnu uslugu. Prijedlog glasi:</w:t>
            </w:r>
          </w:p>
          <w:p w:rsidR="00D25F70" w:rsidRPr="00CE3DA3" w:rsidRDefault="00D25F70" w:rsidP="00D25F70">
            <w:pPr>
              <w:pStyle w:val="Odlomakpopisa"/>
              <w:contextualSpacing w:val="0"/>
            </w:pPr>
            <w:r w:rsidRPr="00CE3DA3">
              <w:t xml:space="preserve"> U pojedinačnim slučajevima Grad  Varaždin preuzet će obvezu plaćanja cijene za javnu uslugu:</w:t>
            </w:r>
          </w:p>
          <w:p w:rsidR="00D25F70" w:rsidRPr="00CE3DA3" w:rsidRDefault="00D25F70" w:rsidP="00D25F70">
            <w:pPr>
              <w:numPr>
                <w:ilvl w:val="0"/>
                <w:numId w:val="6"/>
              </w:numPr>
              <w:ind w:hanging="11"/>
            </w:pPr>
            <w:r w:rsidRPr="00CE3DA3">
              <w:t xml:space="preserve">u cijelosti, za korisnika usluge koji prima zajamčenu minimalnu naknadu; </w:t>
            </w:r>
          </w:p>
          <w:p w:rsidR="00D25F70" w:rsidRPr="00CE3DA3" w:rsidRDefault="00D25F70" w:rsidP="00D25F70">
            <w:pPr>
              <w:numPr>
                <w:ilvl w:val="0"/>
                <w:numId w:val="6"/>
              </w:numPr>
              <w:ind w:hanging="11"/>
            </w:pPr>
            <w:r w:rsidRPr="00CE3DA3">
              <w:t>u cijelosti, za korisnika usluge koji je prijavljen na Zavod za zapošljavanje ili je njegov bračni drug prijavljen na Zavodu, a naknada s Zavoda za zapošljavanje je  jedini prihod u kućanstvu, te obveznik koji ne ostvaruje druge  prihode, a niti članovi njegovog kućanstva;</w:t>
            </w:r>
          </w:p>
          <w:p w:rsidR="00D25F70" w:rsidRPr="00CE3DA3" w:rsidRDefault="00D25F70" w:rsidP="00D25F70">
            <w:pPr>
              <w:numPr>
                <w:ilvl w:val="0"/>
                <w:numId w:val="6"/>
              </w:numPr>
              <w:ind w:hanging="11"/>
            </w:pPr>
            <w:r w:rsidRPr="00CE3DA3">
              <w:t xml:space="preserve">na temelju zaključka </w:t>
            </w:r>
            <w:r w:rsidRPr="00CE3DA3">
              <w:lastRenderedPageBreak/>
              <w:t>gradonačelnik za korisnike čije oslobođenje će predložiti upravni odjel nadležan za socijalnu skrb.</w:t>
            </w:r>
          </w:p>
          <w:p w:rsidR="00D25F70" w:rsidRPr="00CE3DA3" w:rsidRDefault="00D25F70" w:rsidP="00D25F70">
            <w:pPr>
              <w:pStyle w:val="Odlomakpopisa"/>
              <w:numPr>
                <w:ilvl w:val="0"/>
                <w:numId w:val="5"/>
              </w:numPr>
              <w:contextualSpacing w:val="0"/>
            </w:pPr>
            <w:r w:rsidRPr="00CE3DA3">
              <w:t>Korisnik usluge dužan je podnijeti pisani zahtjev  za preuzimanje obveze plaćanja cijene za javnu uslugu upravnom odjelu nad</w:t>
            </w:r>
            <w:r w:rsidR="00CE3DA3">
              <w:t>ležnom za komunalne poslove</w:t>
            </w:r>
            <w:r w:rsidRPr="00CE3DA3">
              <w:t>. Uz zahtjev je potrebno priložiti: rješenje o utvrđivanju prava na zajamčenu minimalnu naknadu, potvrdu zavoda za zapošljavanje, izjavu o broju  članova kućanstva (članovi koji su prijavljeni u evidencijama o prebivalištu Ministarstva unutarnjih poslova),  potvrdu o visini plaće ili mirovine i potvrdu o visini prihoda za prethodnu godinu.</w:t>
            </w:r>
          </w:p>
          <w:p w:rsidR="00D25F70" w:rsidRPr="00CE3DA3" w:rsidRDefault="00D25F70" w:rsidP="00D25F70">
            <w:pPr>
              <w:pStyle w:val="Odlomakpopisa"/>
              <w:numPr>
                <w:ilvl w:val="0"/>
                <w:numId w:val="5"/>
              </w:numPr>
              <w:contextualSpacing w:val="0"/>
            </w:pPr>
            <w:r w:rsidRPr="00CE3DA3">
              <w:t>Rješenje o preuzimanju obveze donosi upravni odjel nadležan za</w:t>
            </w:r>
            <w:r w:rsidR="00CE3DA3">
              <w:t xml:space="preserve"> poslove komunalne poslove</w:t>
            </w:r>
            <w:r w:rsidRPr="00CE3DA3">
              <w:t xml:space="preserve"> za kalendarsku godinu, a preuzimanje obveze od strane Grada Varaždina, u slučaju ispunjenja uvjeta počinje od slijedećeg mjeseca od mjeseca u kojem je podnijet zahtjev.</w:t>
            </w:r>
          </w:p>
          <w:p w:rsidR="00D25F70" w:rsidRPr="00CE3DA3" w:rsidRDefault="00D25F70" w:rsidP="00D25F70">
            <w:pPr>
              <w:pStyle w:val="Odlomakpopisa"/>
              <w:numPr>
                <w:ilvl w:val="0"/>
                <w:numId w:val="5"/>
              </w:numPr>
              <w:contextualSpacing w:val="0"/>
            </w:pPr>
            <w:r w:rsidRPr="00CE3DA3">
              <w:t>Obvezuje se korisnik usluge da svaku promjenu prijavi u roku od 15 dana od dana nastupa iste.</w:t>
            </w:r>
          </w:p>
          <w:p w:rsidR="00AD0F5C" w:rsidRPr="00CE3DA3" w:rsidRDefault="00AD0F5C" w:rsidP="009E5EEE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0F5C" w:rsidRPr="00CE3DA3" w:rsidRDefault="00D25F70" w:rsidP="007303EF">
            <w:pPr>
              <w:rPr>
                <w:szCs w:val="22"/>
              </w:rPr>
            </w:pPr>
            <w:r w:rsidRPr="00CE3DA3">
              <w:rPr>
                <w:szCs w:val="22"/>
              </w:rPr>
              <w:lastRenderedPageBreak/>
              <w:t>Prihvaća se.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D0F5C" w:rsidRDefault="00AD0F5C" w:rsidP="005E7564">
            <w:pPr>
              <w:pStyle w:val="Odlomakpopisa"/>
              <w:ind w:left="0"/>
              <w:rPr>
                <w:szCs w:val="22"/>
              </w:rPr>
            </w:pPr>
          </w:p>
          <w:p w:rsidR="00AD0F5C" w:rsidRDefault="00CE3DA3" w:rsidP="005E7564">
            <w:pPr>
              <w:pStyle w:val="Odlomakpopisa"/>
              <w:ind w:left="0"/>
              <w:rPr>
                <w:szCs w:val="22"/>
              </w:rPr>
            </w:pPr>
            <w:r>
              <w:rPr>
                <w:szCs w:val="22"/>
              </w:rPr>
              <w:t>Prijedlog je u skladu s člankom 4. stavkom 2. točkom 1. Uredbe  o gospodarenju komunalnim otpadom.</w:t>
            </w:r>
          </w:p>
          <w:p w:rsidR="00AD0F5C" w:rsidRDefault="00AD0F5C" w:rsidP="005E7564">
            <w:pPr>
              <w:pStyle w:val="Odlomakpopisa"/>
              <w:ind w:left="0"/>
              <w:rPr>
                <w:szCs w:val="22"/>
              </w:rPr>
            </w:pPr>
          </w:p>
          <w:p w:rsidR="00AD0F5C" w:rsidRDefault="00AD0F5C" w:rsidP="005E7564">
            <w:pPr>
              <w:pStyle w:val="Odlomakpopisa"/>
              <w:ind w:left="0"/>
              <w:rPr>
                <w:szCs w:val="22"/>
              </w:rPr>
            </w:pPr>
          </w:p>
          <w:p w:rsidR="00AD0F5C" w:rsidRDefault="00AD0F5C" w:rsidP="005E7564">
            <w:pPr>
              <w:pStyle w:val="Odlomakpopisa"/>
              <w:ind w:left="0"/>
              <w:rPr>
                <w:szCs w:val="22"/>
              </w:rPr>
            </w:pPr>
          </w:p>
        </w:tc>
      </w:tr>
    </w:tbl>
    <w:p w:rsidR="00F95A35" w:rsidRPr="00FE6A74" w:rsidRDefault="00F95A35" w:rsidP="00F95A35">
      <w:pPr>
        <w:jc w:val="both"/>
        <w:rPr>
          <w:rFonts w:ascii="Arial" w:hAnsi="Arial" w:cs="Arial"/>
          <w:sz w:val="20"/>
        </w:rPr>
      </w:pPr>
    </w:p>
    <w:p w:rsidR="00F95A35" w:rsidRPr="00BC7C17" w:rsidRDefault="00F95A35" w:rsidP="00F95A35">
      <w:pPr>
        <w:jc w:val="both"/>
      </w:pPr>
    </w:p>
    <w:p w:rsidR="00081E85" w:rsidRDefault="00081E85"/>
    <w:sectPr w:rsidR="00081E85" w:rsidSect="005E3C81">
      <w:pgSz w:w="11907" w:h="16840" w:code="9"/>
      <w:pgMar w:top="851" w:right="851" w:bottom="851" w:left="1418" w:header="567" w:footer="851" w:gutter="0"/>
      <w:paperSrc w:first="1" w:other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70B58"/>
    <w:multiLevelType w:val="hybridMultilevel"/>
    <w:tmpl w:val="C99CE1B2"/>
    <w:lvl w:ilvl="0" w:tplc="1BA01F5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B7813"/>
    <w:multiLevelType w:val="hybridMultilevel"/>
    <w:tmpl w:val="05109F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E41BC"/>
    <w:multiLevelType w:val="hybridMultilevel"/>
    <w:tmpl w:val="F3046876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62BC028F"/>
    <w:multiLevelType w:val="hybridMultilevel"/>
    <w:tmpl w:val="4F2A5694"/>
    <w:lvl w:ilvl="0" w:tplc="CF6E6586">
      <w:start w:val="1"/>
      <w:numFmt w:val="decimal"/>
      <w:lvlText w:val="(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4B735D"/>
    <w:multiLevelType w:val="hybridMultilevel"/>
    <w:tmpl w:val="2AAC6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0213F"/>
    <w:multiLevelType w:val="hybridMultilevel"/>
    <w:tmpl w:val="47D2D3BE"/>
    <w:lvl w:ilvl="0" w:tplc="ACDE6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95A35"/>
    <w:rsid w:val="00063C78"/>
    <w:rsid w:val="00064814"/>
    <w:rsid w:val="00081E85"/>
    <w:rsid w:val="00093F70"/>
    <w:rsid w:val="000B528F"/>
    <w:rsid w:val="000C3B3C"/>
    <w:rsid w:val="000C44F6"/>
    <w:rsid w:val="000E3F6F"/>
    <w:rsid w:val="00131086"/>
    <w:rsid w:val="00134FF7"/>
    <w:rsid w:val="001B0DE2"/>
    <w:rsid w:val="001E198A"/>
    <w:rsid w:val="00211440"/>
    <w:rsid w:val="002675C2"/>
    <w:rsid w:val="00285942"/>
    <w:rsid w:val="0029242C"/>
    <w:rsid w:val="002D03EB"/>
    <w:rsid w:val="003567A3"/>
    <w:rsid w:val="003A0070"/>
    <w:rsid w:val="003D0306"/>
    <w:rsid w:val="003E55C7"/>
    <w:rsid w:val="00424B9C"/>
    <w:rsid w:val="004319BF"/>
    <w:rsid w:val="00431D92"/>
    <w:rsid w:val="00452DD7"/>
    <w:rsid w:val="00453E93"/>
    <w:rsid w:val="00490C46"/>
    <w:rsid w:val="004F1E64"/>
    <w:rsid w:val="005015B3"/>
    <w:rsid w:val="005139E9"/>
    <w:rsid w:val="005744CE"/>
    <w:rsid w:val="005A082F"/>
    <w:rsid w:val="005C0A25"/>
    <w:rsid w:val="005E06CA"/>
    <w:rsid w:val="005E3C81"/>
    <w:rsid w:val="005E7564"/>
    <w:rsid w:val="006207C4"/>
    <w:rsid w:val="00686322"/>
    <w:rsid w:val="006C0AE0"/>
    <w:rsid w:val="006C1302"/>
    <w:rsid w:val="006E31CD"/>
    <w:rsid w:val="006E4D65"/>
    <w:rsid w:val="007303EF"/>
    <w:rsid w:val="0075349A"/>
    <w:rsid w:val="00792BFF"/>
    <w:rsid w:val="008000B8"/>
    <w:rsid w:val="008339D2"/>
    <w:rsid w:val="00842E87"/>
    <w:rsid w:val="00845520"/>
    <w:rsid w:val="008740E5"/>
    <w:rsid w:val="008775F0"/>
    <w:rsid w:val="008B35A7"/>
    <w:rsid w:val="008B557C"/>
    <w:rsid w:val="009257B7"/>
    <w:rsid w:val="00964FDD"/>
    <w:rsid w:val="00966E3E"/>
    <w:rsid w:val="009C1029"/>
    <w:rsid w:val="009D379B"/>
    <w:rsid w:val="009E5EEE"/>
    <w:rsid w:val="009F2AD9"/>
    <w:rsid w:val="00A30CF7"/>
    <w:rsid w:val="00A548D4"/>
    <w:rsid w:val="00A7608E"/>
    <w:rsid w:val="00A81DEA"/>
    <w:rsid w:val="00AA1FE2"/>
    <w:rsid w:val="00AD0F5C"/>
    <w:rsid w:val="00AD6DFC"/>
    <w:rsid w:val="00AE12FF"/>
    <w:rsid w:val="00B00D80"/>
    <w:rsid w:val="00B10A3D"/>
    <w:rsid w:val="00B27AD4"/>
    <w:rsid w:val="00B327AA"/>
    <w:rsid w:val="00B4243E"/>
    <w:rsid w:val="00B568EF"/>
    <w:rsid w:val="00B76580"/>
    <w:rsid w:val="00BB6BAB"/>
    <w:rsid w:val="00BF05C7"/>
    <w:rsid w:val="00C26631"/>
    <w:rsid w:val="00C3763C"/>
    <w:rsid w:val="00C5112C"/>
    <w:rsid w:val="00C577AF"/>
    <w:rsid w:val="00C73A8D"/>
    <w:rsid w:val="00C81F8E"/>
    <w:rsid w:val="00CB69DD"/>
    <w:rsid w:val="00CE3DA3"/>
    <w:rsid w:val="00CF5C27"/>
    <w:rsid w:val="00D17597"/>
    <w:rsid w:val="00D25F70"/>
    <w:rsid w:val="00D97A17"/>
    <w:rsid w:val="00DA5B5B"/>
    <w:rsid w:val="00E05E4B"/>
    <w:rsid w:val="00E10865"/>
    <w:rsid w:val="00E264F3"/>
    <w:rsid w:val="00E4074D"/>
    <w:rsid w:val="00E67374"/>
    <w:rsid w:val="00E756C5"/>
    <w:rsid w:val="00E82FA1"/>
    <w:rsid w:val="00E83FB3"/>
    <w:rsid w:val="00E938F7"/>
    <w:rsid w:val="00EC1712"/>
    <w:rsid w:val="00EF5323"/>
    <w:rsid w:val="00F3404B"/>
    <w:rsid w:val="00F35E06"/>
    <w:rsid w:val="00F4445C"/>
    <w:rsid w:val="00F95A35"/>
    <w:rsid w:val="00FB166C"/>
    <w:rsid w:val="00FC1521"/>
    <w:rsid w:val="00FC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A35"/>
    <w:pPr>
      <w:ind w:firstLine="0"/>
      <w:jc w:val="left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5A3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F95A3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92BF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A1FE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A1FE2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9E5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89D02-25AA-4136-82AB-D45D0A98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9943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Cindrić</dc:creator>
  <cp:lastModifiedBy>Andrejana Šantek</cp:lastModifiedBy>
  <cp:revision>9</cp:revision>
  <cp:lastPrinted>2018-01-24T06:43:00Z</cp:lastPrinted>
  <dcterms:created xsi:type="dcterms:W3CDTF">2018-01-23T07:10:00Z</dcterms:created>
  <dcterms:modified xsi:type="dcterms:W3CDTF">2018-01-24T09:20:00Z</dcterms:modified>
</cp:coreProperties>
</file>