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83"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tblPr>
      <w:tblGrid>
        <w:gridCol w:w="687"/>
        <w:gridCol w:w="2593"/>
        <w:gridCol w:w="704"/>
        <w:gridCol w:w="419"/>
        <w:gridCol w:w="6053"/>
        <w:gridCol w:w="1276"/>
        <w:gridCol w:w="2551"/>
      </w:tblGrid>
      <w:tr w:rsidR="005A20DC" w:rsidRPr="00FE6A74" w:rsidTr="00E72F08">
        <w:trPr>
          <w:trHeight w:val="416"/>
        </w:trPr>
        <w:tc>
          <w:tcPr>
            <w:tcW w:w="14283" w:type="dxa"/>
            <w:gridSpan w:val="7"/>
            <w:vAlign w:val="center"/>
          </w:tcPr>
          <w:p w:rsidR="005A20DC" w:rsidRDefault="005A20DC" w:rsidP="00E72F08">
            <w:pPr>
              <w:ind w:right="171"/>
              <w:jc w:val="center"/>
              <w:rPr>
                <w:rFonts w:ascii="Arial" w:hAnsi="Arial" w:cs="Arial"/>
                <w:b/>
                <w:sz w:val="20"/>
              </w:rPr>
            </w:pPr>
          </w:p>
          <w:p w:rsidR="005A20DC" w:rsidRDefault="005A20DC" w:rsidP="00E72F08">
            <w:pPr>
              <w:ind w:right="171"/>
              <w:jc w:val="center"/>
              <w:rPr>
                <w:rFonts w:ascii="Arial" w:hAnsi="Arial" w:cs="Arial"/>
                <w:b/>
                <w:sz w:val="20"/>
              </w:rPr>
            </w:pPr>
          </w:p>
          <w:p w:rsidR="005A20DC" w:rsidRDefault="005A20DC" w:rsidP="00E72F08">
            <w:pPr>
              <w:ind w:right="171"/>
              <w:jc w:val="center"/>
              <w:rPr>
                <w:rFonts w:ascii="Arial" w:hAnsi="Arial" w:cs="Arial"/>
                <w:b/>
                <w:sz w:val="20"/>
              </w:rPr>
            </w:pPr>
            <w:r w:rsidRPr="00FE6A74">
              <w:rPr>
                <w:rFonts w:ascii="Arial" w:hAnsi="Arial" w:cs="Arial"/>
                <w:b/>
                <w:sz w:val="20"/>
              </w:rPr>
              <w:t>IZVJEŠĆE O PROVEDENOM SAVJETOVANJU SA ZAINTERESIRANOM JAVNOŠĆU</w:t>
            </w:r>
          </w:p>
          <w:p w:rsidR="005A20DC" w:rsidRDefault="005A20DC" w:rsidP="00E72F08">
            <w:pPr>
              <w:ind w:right="171"/>
              <w:jc w:val="center"/>
              <w:rPr>
                <w:rFonts w:ascii="Arial" w:hAnsi="Arial" w:cs="Arial"/>
                <w:b/>
                <w:sz w:val="20"/>
              </w:rPr>
            </w:pPr>
          </w:p>
          <w:p w:rsidR="005A20DC" w:rsidRPr="00FE6A74" w:rsidRDefault="005A20DC" w:rsidP="00E72F08">
            <w:pPr>
              <w:ind w:right="171"/>
              <w:jc w:val="center"/>
              <w:rPr>
                <w:rFonts w:ascii="Arial" w:hAnsi="Arial" w:cs="Arial"/>
                <w:b/>
                <w:sz w:val="20"/>
              </w:rPr>
            </w:pPr>
          </w:p>
        </w:tc>
      </w:tr>
      <w:tr w:rsidR="005A20DC" w:rsidRPr="00FE6A74" w:rsidTr="00E72F08">
        <w:trPr>
          <w:trHeight w:val="661"/>
        </w:trPr>
        <w:tc>
          <w:tcPr>
            <w:tcW w:w="14283" w:type="dxa"/>
            <w:gridSpan w:val="7"/>
            <w:vAlign w:val="center"/>
          </w:tcPr>
          <w:p w:rsidR="005A20DC" w:rsidRDefault="005A20DC" w:rsidP="00E72F08">
            <w:pPr>
              <w:ind w:right="171"/>
              <w:rPr>
                <w:rFonts w:ascii="Arial" w:hAnsi="Arial" w:cs="Arial"/>
                <w:sz w:val="20"/>
              </w:rPr>
            </w:pPr>
            <w:r w:rsidRPr="00FE6A74">
              <w:rPr>
                <w:rFonts w:ascii="Arial" w:hAnsi="Arial" w:cs="Arial"/>
                <w:sz w:val="20"/>
              </w:rPr>
              <w:t xml:space="preserve">Naziv akta o kojem je savjetovanje provedeno: </w:t>
            </w:r>
          </w:p>
          <w:p w:rsidR="005A20DC" w:rsidRDefault="005A20DC" w:rsidP="00E72F08">
            <w:pPr>
              <w:ind w:right="171"/>
              <w:jc w:val="center"/>
              <w:rPr>
                <w:rFonts w:ascii="Arial" w:hAnsi="Arial" w:cs="Arial"/>
                <w:sz w:val="20"/>
              </w:rPr>
            </w:pPr>
          </w:p>
          <w:p w:rsidR="005A20DC" w:rsidRPr="00CB0CB0" w:rsidRDefault="005A20DC" w:rsidP="005A20DC">
            <w:pPr>
              <w:ind w:right="171"/>
              <w:jc w:val="center"/>
              <w:rPr>
                <w:rFonts w:ascii="Arial" w:hAnsi="Arial" w:cs="Arial"/>
                <w:b/>
                <w:sz w:val="20"/>
              </w:rPr>
            </w:pPr>
            <w:r w:rsidRPr="00CB0CB0">
              <w:rPr>
                <w:rFonts w:ascii="Arial" w:hAnsi="Arial" w:cs="Arial"/>
                <w:b/>
                <w:sz w:val="20"/>
              </w:rPr>
              <w:t>Nacrt</w:t>
            </w:r>
            <w:r>
              <w:rPr>
                <w:rFonts w:ascii="Arial" w:hAnsi="Arial" w:cs="Arial"/>
                <w:b/>
                <w:sz w:val="20"/>
              </w:rPr>
              <w:t xml:space="preserve"> prijedloga Odluke o izmjenama i dopunama Odluke o organizaciji i načinu naplate parkiranja </w:t>
            </w:r>
          </w:p>
        </w:tc>
      </w:tr>
      <w:tr w:rsidR="005A20DC" w:rsidRPr="00FE6A74" w:rsidTr="00E72F08">
        <w:trPr>
          <w:trHeight w:val="723"/>
        </w:trPr>
        <w:tc>
          <w:tcPr>
            <w:tcW w:w="14283" w:type="dxa"/>
            <w:gridSpan w:val="7"/>
            <w:tcBorders>
              <w:bottom w:val="single" w:sz="12" w:space="0" w:color="auto"/>
            </w:tcBorders>
            <w:vAlign w:val="center"/>
          </w:tcPr>
          <w:p w:rsidR="005A20DC" w:rsidRPr="00FE6A74" w:rsidRDefault="005A20DC" w:rsidP="00E72F08">
            <w:pPr>
              <w:pStyle w:val="Bezproreda"/>
              <w:ind w:right="171"/>
              <w:jc w:val="both"/>
              <w:rPr>
                <w:rFonts w:ascii="Arial" w:hAnsi="Arial" w:cs="Arial"/>
                <w:sz w:val="20"/>
                <w:szCs w:val="20"/>
              </w:rPr>
            </w:pPr>
            <w:r w:rsidRPr="00FE6A74">
              <w:rPr>
                <w:rFonts w:ascii="Arial" w:hAnsi="Arial" w:cs="Arial"/>
                <w:sz w:val="20"/>
                <w:szCs w:val="20"/>
              </w:rPr>
              <w:t>Vrijeme trajanja savjetovanja: Savjetovanje je provedeno u trajanju od</w:t>
            </w:r>
            <w:r>
              <w:rPr>
                <w:rFonts w:ascii="Arial" w:hAnsi="Arial" w:cs="Arial"/>
                <w:sz w:val="20"/>
                <w:szCs w:val="20"/>
              </w:rPr>
              <w:t xml:space="preserve"> 30 </w:t>
            </w:r>
            <w:r w:rsidRPr="00FE6A74">
              <w:rPr>
                <w:rFonts w:ascii="Arial" w:hAnsi="Arial" w:cs="Arial"/>
                <w:sz w:val="20"/>
                <w:szCs w:val="20"/>
              </w:rPr>
              <w:t xml:space="preserve">dana odnosno od dana </w:t>
            </w:r>
            <w:r>
              <w:rPr>
                <w:rFonts w:ascii="Arial" w:hAnsi="Arial" w:cs="Arial"/>
                <w:sz w:val="20"/>
                <w:szCs w:val="20"/>
              </w:rPr>
              <w:t xml:space="preserve">24. ožujka 2015. </w:t>
            </w:r>
            <w:r w:rsidRPr="00FE6A74">
              <w:rPr>
                <w:rFonts w:ascii="Arial" w:hAnsi="Arial" w:cs="Arial"/>
                <w:sz w:val="20"/>
                <w:szCs w:val="20"/>
              </w:rPr>
              <w:t xml:space="preserve">godine pa do dana </w:t>
            </w:r>
            <w:r>
              <w:rPr>
                <w:rFonts w:ascii="Arial" w:hAnsi="Arial" w:cs="Arial"/>
                <w:sz w:val="20"/>
                <w:szCs w:val="20"/>
              </w:rPr>
              <w:t>24. travnja 2015. godine</w:t>
            </w:r>
            <w:r w:rsidRPr="00FE6A74">
              <w:rPr>
                <w:rFonts w:ascii="Arial" w:hAnsi="Arial" w:cs="Arial"/>
                <w:sz w:val="20"/>
                <w:szCs w:val="20"/>
              </w:rPr>
              <w:t>.</w:t>
            </w:r>
          </w:p>
        </w:tc>
      </w:tr>
      <w:tr w:rsidR="005A20DC" w:rsidRPr="00FE6A74" w:rsidTr="00E72F08">
        <w:trPr>
          <w:trHeight w:val="1119"/>
        </w:trPr>
        <w:tc>
          <w:tcPr>
            <w:tcW w:w="3984" w:type="dxa"/>
            <w:gridSpan w:val="3"/>
            <w:tcBorders>
              <w:top w:val="single" w:sz="12" w:space="0" w:color="auto"/>
              <w:bottom w:val="single" w:sz="18" w:space="0" w:color="auto"/>
            </w:tcBorders>
            <w:vAlign w:val="center"/>
          </w:tcPr>
          <w:p w:rsidR="005A20DC" w:rsidRPr="00FE6A74" w:rsidRDefault="005A20DC" w:rsidP="00E72F08">
            <w:pPr>
              <w:ind w:right="171"/>
              <w:jc w:val="center"/>
              <w:rPr>
                <w:rFonts w:ascii="Arial" w:hAnsi="Arial" w:cs="Arial"/>
                <w:sz w:val="20"/>
              </w:rPr>
            </w:pPr>
            <w:r w:rsidRPr="00FE6A74">
              <w:rPr>
                <w:rFonts w:ascii="Arial" w:hAnsi="Arial" w:cs="Arial"/>
                <w:sz w:val="20"/>
              </w:rPr>
              <w:t>Cilj i glavne teme savjetovanja</w:t>
            </w:r>
          </w:p>
        </w:tc>
        <w:tc>
          <w:tcPr>
            <w:tcW w:w="10299" w:type="dxa"/>
            <w:gridSpan w:val="4"/>
            <w:tcBorders>
              <w:top w:val="single" w:sz="12" w:space="0" w:color="auto"/>
              <w:bottom w:val="single" w:sz="18" w:space="0" w:color="auto"/>
            </w:tcBorders>
            <w:vAlign w:val="center"/>
          </w:tcPr>
          <w:p w:rsidR="005A20DC" w:rsidRDefault="005A20DC" w:rsidP="00E72F08"/>
          <w:tbl>
            <w:tblPr>
              <w:tblW w:w="0" w:type="auto"/>
              <w:tblBorders>
                <w:top w:val="nil"/>
                <w:left w:val="nil"/>
                <w:bottom w:val="nil"/>
                <w:right w:val="nil"/>
              </w:tblBorders>
              <w:tblLook w:val="0000"/>
            </w:tblPr>
            <w:tblGrid>
              <w:gridCol w:w="5042"/>
              <w:gridCol w:w="5041"/>
            </w:tblGrid>
            <w:tr w:rsidR="005A20DC" w:rsidTr="00E72F08">
              <w:trPr>
                <w:trHeight w:val="523"/>
              </w:trPr>
              <w:tc>
                <w:tcPr>
                  <w:tcW w:w="0" w:type="auto"/>
                  <w:gridSpan w:val="2"/>
                </w:tcPr>
                <w:p w:rsidR="005A20DC" w:rsidRPr="00F86B5C" w:rsidRDefault="005A20DC" w:rsidP="005A20DC">
                  <w:pPr>
                    <w:ind w:right="171"/>
                    <w:rPr>
                      <w:rFonts w:ascii="Arial" w:hAnsi="Arial" w:cs="Arial"/>
                      <w:sz w:val="20"/>
                    </w:rPr>
                  </w:pPr>
                  <w:r w:rsidRPr="00F86B5C">
                    <w:rPr>
                      <w:rFonts w:ascii="Arial" w:hAnsi="Arial" w:cs="Arial"/>
                      <w:sz w:val="20"/>
                    </w:rPr>
                    <w:t>Cilj provođenja savjetovanja sa zainteresiranom javnošću je upoznavanje javnosti s Nacrtom Odluke o izmjenama i dopunama Odluke o</w:t>
                  </w:r>
                  <w:r>
                    <w:rPr>
                      <w:rFonts w:ascii="Arial" w:hAnsi="Arial" w:cs="Arial"/>
                      <w:sz w:val="20"/>
                    </w:rPr>
                    <w:t xml:space="preserve"> organizaciji i načinu naplate parkiranja</w:t>
                  </w:r>
                  <w:r w:rsidRPr="00F86B5C">
                    <w:rPr>
                      <w:rFonts w:ascii="Arial" w:hAnsi="Arial" w:cs="Arial"/>
                      <w:sz w:val="20"/>
                    </w:rPr>
                    <w:t xml:space="preserve">, te dobivanje mišljenja, primjedbi i prijedloga, te eventualno prihvaćanje zakonitih i stručno utemeljenih prijedloga, primjedbi i mišljenja. </w:t>
                  </w:r>
                </w:p>
              </w:tc>
            </w:tr>
            <w:tr w:rsidR="005A20DC" w:rsidTr="00E72F08">
              <w:trPr>
                <w:trHeight w:val="151"/>
              </w:trPr>
              <w:tc>
                <w:tcPr>
                  <w:tcW w:w="0" w:type="auto"/>
                </w:tcPr>
                <w:p w:rsidR="005A20DC" w:rsidRDefault="005A20DC" w:rsidP="00E72F08">
                  <w:pPr>
                    <w:pStyle w:val="Default"/>
                    <w:ind w:right="171"/>
                    <w:rPr>
                      <w:sz w:val="22"/>
                      <w:szCs w:val="22"/>
                    </w:rPr>
                  </w:pPr>
                </w:p>
              </w:tc>
              <w:tc>
                <w:tcPr>
                  <w:tcW w:w="0" w:type="auto"/>
                </w:tcPr>
                <w:p w:rsidR="005A20DC" w:rsidRDefault="005A20DC" w:rsidP="00E72F08">
                  <w:pPr>
                    <w:pStyle w:val="Default"/>
                    <w:ind w:right="171"/>
                    <w:rPr>
                      <w:sz w:val="23"/>
                      <w:szCs w:val="23"/>
                    </w:rPr>
                  </w:pPr>
                </w:p>
              </w:tc>
            </w:tr>
          </w:tbl>
          <w:p w:rsidR="005A20DC" w:rsidRPr="00FE6A74" w:rsidRDefault="005A20DC" w:rsidP="00E72F08">
            <w:pPr>
              <w:ind w:right="171"/>
              <w:rPr>
                <w:rFonts w:ascii="Arial" w:hAnsi="Arial" w:cs="Arial"/>
                <w:sz w:val="20"/>
              </w:rPr>
            </w:pPr>
          </w:p>
        </w:tc>
      </w:tr>
      <w:tr w:rsidR="005A20DC" w:rsidRPr="00C353C1" w:rsidTr="00E72F08">
        <w:tblPrEx>
          <w:tblBorders>
            <w:insideV w:val="single" w:sz="2" w:space="0" w:color="auto"/>
          </w:tblBorders>
        </w:tblPrEx>
        <w:trPr>
          <w:trHeight w:val="926"/>
        </w:trPr>
        <w:tc>
          <w:tcPr>
            <w:tcW w:w="687" w:type="dxa"/>
            <w:tcBorders>
              <w:bottom w:val="single" w:sz="4" w:space="0" w:color="auto"/>
            </w:tcBorders>
            <w:vAlign w:val="center"/>
          </w:tcPr>
          <w:p w:rsidR="005A20DC" w:rsidRPr="00C353C1" w:rsidRDefault="005A20DC" w:rsidP="00E72F08">
            <w:pPr>
              <w:jc w:val="center"/>
              <w:rPr>
                <w:rFonts w:ascii="Arial" w:hAnsi="Arial" w:cs="Arial"/>
                <w:sz w:val="18"/>
                <w:szCs w:val="18"/>
              </w:rPr>
            </w:pPr>
            <w:r w:rsidRPr="00C353C1">
              <w:rPr>
                <w:rFonts w:ascii="Arial" w:hAnsi="Arial" w:cs="Arial"/>
                <w:sz w:val="18"/>
                <w:szCs w:val="18"/>
              </w:rPr>
              <w:t>Redni broj</w:t>
            </w:r>
          </w:p>
        </w:tc>
        <w:tc>
          <w:tcPr>
            <w:tcW w:w="2593" w:type="dxa"/>
            <w:vAlign w:val="center"/>
          </w:tcPr>
          <w:p w:rsidR="005A20DC" w:rsidRPr="00C353C1" w:rsidRDefault="005A20DC" w:rsidP="00E72F08">
            <w:pPr>
              <w:jc w:val="center"/>
              <w:rPr>
                <w:rFonts w:ascii="Arial" w:hAnsi="Arial" w:cs="Arial"/>
                <w:sz w:val="18"/>
                <w:szCs w:val="18"/>
              </w:rPr>
            </w:pPr>
            <w:r w:rsidRPr="00C353C1">
              <w:rPr>
                <w:rFonts w:ascii="Arial" w:hAnsi="Arial" w:cs="Arial"/>
                <w:sz w:val="18"/>
                <w:szCs w:val="18"/>
              </w:rPr>
              <w:t>Naziv dionika (pojedinac, organizacija, institucija)</w:t>
            </w:r>
          </w:p>
        </w:tc>
        <w:tc>
          <w:tcPr>
            <w:tcW w:w="1123" w:type="dxa"/>
            <w:gridSpan w:val="2"/>
            <w:vAlign w:val="center"/>
          </w:tcPr>
          <w:p w:rsidR="005A20DC" w:rsidRPr="00C353C1" w:rsidRDefault="005A20DC" w:rsidP="00E72F08">
            <w:pPr>
              <w:jc w:val="center"/>
              <w:rPr>
                <w:rFonts w:ascii="Arial" w:hAnsi="Arial" w:cs="Arial"/>
                <w:sz w:val="18"/>
                <w:szCs w:val="18"/>
              </w:rPr>
            </w:pPr>
            <w:r>
              <w:rPr>
                <w:rFonts w:ascii="Arial" w:hAnsi="Arial" w:cs="Arial"/>
                <w:sz w:val="18"/>
                <w:szCs w:val="18"/>
              </w:rPr>
              <w:t>č</w:t>
            </w:r>
            <w:r w:rsidRPr="00C353C1">
              <w:rPr>
                <w:rFonts w:ascii="Arial" w:hAnsi="Arial" w:cs="Arial"/>
                <w:sz w:val="18"/>
                <w:szCs w:val="18"/>
              </w:rPr>
              <w:t>lanak na koji se odnosi primjedba/</w:t>
            </w:r>
          </w:p>
          <w:p w:rsidR="005A20DC" w:rsidRPr="00C353C1" w:rsidRDefault="005A20DC" w:rsidP="00E72F08">
            <w:pPr>
              <w:jc w:val="center"/>
              <w:rPr>
                <w:rFonts w:ascii="Arial" w:hAnsi="Arial" w:cs="Arial"/>
                <w:sz w:val="18"/>
                <w:szCs w:val="18"/>
              </w:rPr>
            </w:pPr>
            <w:r w:rsidRPr="00C353C1">
              <w:rPr>
                <w:rFonts w:ascii="Arial" w:hAnsi="Arial" w:cs="Arial"/>
                <w:sz w:val="18"/>
                <w:szCs w:val="18"/>
              </w:rPr>
              <w:t>prijedlog</w:t>
            </w:r>
          </w:p>
        </w:tc>
        <w:tc>
          <w:tcPr>
            <w:tcW w:w="6053" w:type="dxa"/>
            <w:tcBorders>
              <w:bottom w:val="single" w:sz="2" w:space="0" w:color="auto"/>
            </w:tcBorders>
            <w:vAlign w:val="center"/>
          </w:tcPr>
          <w:p w:rsidR="005A20DC" w:rsidRPr="00C353C1" w:rsidRDefault="005A20DC" w:rsidP="00E72F08">
            <w:pPr>
              <w:jc w:val="center"/>
              <w:rPr>
                <w:rFonts w:ascii="Arial" w:hAnsi="Arial" w:cs="Arial"/>
                <w:sz w:val="18"/>
                <w:szCs w:val="18"/>
              </w:rPr>
            </w:pPr>
            <w:r w:rsidRPr="00C353C1">
              <w:rPr>
                <w:rFonts w:ascii="Arial" w:hAnsi="Arial" w:cs="Arial"/>
                <w:sz w:val="18"/>
                <w:szCs w:val="18"/>
              </w:rPr>
              <w:t>Tekst primjedbe/prijedloga</w:t>
            </w:r>
          </w:p>
        </w:tc>
        <w:tc>
          <w:tcPr>
            <w:tcW w:w="1276" w:type="dxa"/>
            <w:vAlign w:val="center"/>
          </w:tcPr>
          <w:p w:rsidR="005A20DC" w:rsidRDefault="005A20DC" w:rsidP="00E72F08">
            <w:pPr>
              <w:rPr>
                <w:rFonts w:ascii="Arial" w:hAnsi="Arial" w:cs="Arial"/>
                <w:sz w:val="16"/>
                <w:szCs w:val="16"/>
              </w:rPr>
            </w:pPr>
          </w:p>
          <w:p w:rsidR="005A20DC" w:rsidRPr="00C353C1" w:rsidRDefault="005A20DC" w:rsidP="00E72F08">
            <w:pPr>
              <w:rPr>
                <w:rFonts w:ascii="Arial" w:hAnsi="Arial" w:cs="Arial"/>
                <w:sz w:val="14"/>
                <w:szCs w:val="14"/>
              </w:rPr>
            </w:pPr>
            <w:r w:rsidRPr="00C353C1">
              <w:rPr>
                <w:rFonts w:ascii="Arial" w:hAnsi="Arial" w:cs="Arial"/>
                <w:sz w:val="14"/>
                <w:szCs w:val="14"/>
              </w:rPr>
              <w:t>Prihvaćanje/ neprihvaćanje primjedbe ili prijedloga</w:t>
            </w:r>
          </w:p>
          <w:p w:rsidR="005A20DC" w:rsidRPr="00C353C1" w:rsidRDefault="005A20DC" w:rsidP="00E72F08">
            <w:pPr>
              <w:jc w:val="center"/>
              <w:rPr>
                <w:rFonts w:ascii="Arial" w:hAnsi="Arial" w:cs="Arial"/>
                <w:sz w:val="16"/>
                <w:szCs w:val="16"/>
              </w:rPr>
            </w:pPr>
          </w:p>
          <w:p w:rsidR="005A20DC" w:rsidRPr="00C353C1" w:rsidRDefault="005A20DC" w:rsidP="00E72F08">
            <w:pPr>
              <w:rPr>
                <w:rFonts w:ascii="Arial" w:hAnsi="Arial" w:cs="Arial"/>
                <w:sz w:val="18"/>
                <w:szCs w:val="18"/>
              </w:rPr>
            </w:pPr>
          </w:p>
        </w:tc>
        <w:tc>
          <w:tcPr>
            <w:tcW w:w="2551" w:type="dxa"/>
            <w:vAlign w:val="center"/>
          </w:tcPr>
          <w:p w:rsidR="005A20DC" w:rsidRPr="00C353C1" w:rsidRDefault="005A20DC" w:rsidP="00E72F08">
            <w:pPr>
              <w:jc w:val="center"/>
              <w:rPr>
                <w:rFonts w:ascii="Arial" w:hAnsi="Arial" w:cs="Arial"/>
                <w:sz w:val="18"/>
                <w:szCs w:val="18"/>
              </w:rPr>
            </w:pPr>
            <w:r w:rsidRPr="00C353C1">
              <w:rPr>
                <w:rFonts w:ascii="Arial" w:hAnsi="Arial" w:cs="Arial"/>
                <w:sz w:val="18"/>
                <w:szCs w:val="18"/>
              </w:rPr>
              <w:t>Razlozi prihvaćanja/ neprihvaćanja primjedbe ili prijedloga</w:t>
            </w:r>
          </w:p>
          <w:p w:rsidR="005A20DC" w:rsidRPr="00C353C1" w:rsidRDefault="005A20DC" w:rsidP="00E72F08">
            <w:pPr>
              <w:jc w:val="center"/>
              <w:rPr>
                <w:rFonts w:ascii="Arial" w:hAnsi="Arial" w:cs="Arial"/>
                <w:sz w:val="18"/>
                <w:szCs w:val="18"/>
              </w:rPr>
            </w:pPr>
          </w:p>
          <w:p w:rsidR="005A20DC" w:rsidRPr="00C353C1" w:rsidRDefault="005A20DC" w:rsidP="00E72F08">
            <w:pPr>
              <w:jc w:val="center"/>
              <w:rPr>
                <w:rFonts w:ascii="Arial" w:hAnsi="Arial" w:cs="Arial"/>
                <w:sz w:val="18"/>
                <w:szCs w:val="18"/>
              </w:rPr>
            </w:pPr>
          </w:p>
        </w:tc>
      </w:tr>
      <w:tr w:rsidR="005A20DC" w:rsidRPr="00FE6A74" w:rsidTr="00E72F08">
        <w:tblPrEx>
          <w:tblBorders>
            <w:insideV w:val="single" w:sz="2" w:space="0" w:color="auto"/>
          </w:tblBorders>
        </w:tblPrEx>
        <w:trPr>
          <w:trHeight w:val="2126"/>
        </w:trPr>
        <w:tc>
          <w:tcPr>
            <w:tcW w:w="687" w:type="dxa"/>
            <w:tcBorders>
              <w:top w:val="single" w:sz="4" w:space="0" w:color="auto"/>
              <w:bottom w:val="single" w:sz="4" w:space="0" w:color="auto"/>
            </w:tcBorders>
          </w:tcPr>
          <w:p w:rsidR="005A20DC" w:rsidRPr="00FE6A74" w:rsidRDefault="005A20DC" w:rsidP="00E72F08">
            <w:pPr>
              <w:jc w:val="center"/>
              <w:rPr>
                <w:rFonts w:ascii="Arial" w:hAnsi="Arial" w:cs="Arial"/>
                <w:sz w:val="20"/>
              </w:rPr>
            </w:pPr>
          </w:p>
          <w:p w:rsidR="005A20DC" w:rsidRDefault="005A20DC" w:rsidP="00E72F08">
            <w:pPr>
              <w:jc w:val="center"/>
              <w:rPr>
                <w:rFonts w:ascii="Arial" w:hAnsi="Arial" w:cs="Arial"/>
                <w:sz w:val="20"/>
              </w:rPr>
            </w:pPr>
            <w:r>
              <w:rPr>
                <w:rFonts w:ascii="Arial" w:hAnsi="Arial" w:cs="Arial"/>
                <w:sz w:val="20"/>
              </w:rPr>
              <w:t>1.</w:t>
            </w: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Pr="00FE6A74" w:rsidRDefault="005A20DC" w:rsidP="00E72F08">
            <w:pPr>
              <w:jc w:val="center"/>
              <w:rPr>
                <w:rFonts w:ascii="Arial" w:hAnsi="Arial" w:cs="Arial"/>
                <w:sz w:val="20"/>
              </w:rPr>
            </w:pPr>
          </w:p>
        </w:tc>
        <w:tc>
          <w:tcPr>
            <w:tcW w:w="2593" w:type="dxa"/>
          </w:tcPr>
          <w:p w:rsidR="005A20DC" w:rsidRPr="00FE6A74" w:rsidRDefault="005A20DC" w:rsidP="00E72F08">
            <w:pPr>
              <w:jc w:val="center"/>
              <w:rPr>
                <w:rFonts w:ascii="Arial" w:hAnsi="Arial" w:cs="Arial"/>
                <w:sz w:val="20"/>
              </w:rPr>
            </w:pPr>
          </w:p>
          <w:p w:rsidR="005A20DC" w:rsidRDefault="005A20DC" w:rsidP="005A20DC">
            <w:pPr>
              <w:jc w:val="center"/>
              <w:rPr>
                <w:rFonts w:ascii="Arial" w:hAnsi="Arial" w:cs="Arial"/>
                <w:b/>
                <w:sz w:val="20"/>
              </w:rPr>
            </w:pPr>
            <w:r>
              <w:rPr>
                <w:rFonts w:ascii="Arial" w:hAnsi="Arial" w:cs="Arial"/>
                <w:b/>
                <w:sz w:val="20"/>
              </w:rPr>
              <w:t xml:space="preserve">Tihomir </w:t>
            </w:r>
            <w:proofErr w:type="spellStart"/>
            <w:r>
              <w:rPr>
                <w:rFonts w:ascii="Arial" w:hAnsi="Arial" w:cs="Arial"/>
                <w:b/>
                <w:sz w:val="20"/>
              </w:rPr>
              <w:t>Nonković</w:t>
            </w:r>
            <w:proofErr w:type="spellEnd"/>
            <w:r>
              <w:rPr>
                <w:rFonts w:ascii="Arial" w:hAnsi="Arial" w:cs="Arial"/>
                <w:b/>
                <w:sz w:val="20"/>
              </w:rPr>
              <w:t>,</w:t>
            </w:r>
          </w:p>
          <w:p w:rsidR="005A20DC" w:rsidRPr="008F3C0A" w:rsidRDefault="005A20DC" w:rsidP="005A20DC">
            <w:pPr>
              <w:jc w:val="center"/>
              <w:rPr>
                <w:rFonts w:ascii="Arial" w:hAnsi="Arial" w:cs="Arial"/>
                <w:b/>
                <w:sz w:val="18"/>
                <w:szCs w:val="18"/>
              </w:rPr>
            </w:pPr>
            <w:r w:rsidRPr="008F3C0A">
              <w:rPr>
                <w:rFonts w:ascii="Arial" w:hAnsi="Arial" w:cs="Arial"/>
                <w:b/>
                <w:sz w:val="18"/>
                <w:szCs w:val="18"/>
              </w:rPr>
              <w:t xml:space="preserve">Varaždin, Vinka </w:t>
            </w:r>
            <w:proofErr w:type="spellStart"/>
            <w:r w:rsidRPr="008F3C0A">
              <w:rPr>
                <w:rFonts w:ascii="Arial" w:hAnsi="Arial" w:cs="Arial"/>
                <w:b/>
                <w:sz w:val="18"/>
                <w:szCs w:val="18"/>
              </w:rPr>
              <w:t>Žganca</w:t>
            </w:r>
            <w:proofErr w:type="spellEnd"/>
            <w:r w:rsidRPr="008F3C0A">
              <w:rPr>
                <w:rFonts w:ascii="Arial" w:hAnsi="Arial" w:cs="Arial"/>
                <w:b/>
                <w:sz w:val="18"/>
                <w:szCs w:val="18"/>
              </w:rPr>
              <w:t xml:space="preserve"> 3</w:t>
            </w: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Default="005A20DC" w:rsidP="00E72F08">
            <w:pPr>
              <w:jc w:val="center"/>
              <w:rPr>
                <w:rFonts w:ascii="Arial" w:hAnsi="Arial" w:cs="Arial"/>
                <w:b/>
                <w:sz w:val="20"/>
              </w:rPr>
            </w:pPr>
          </w:p>
          <w:p w:rsidR="005A20DC" w:rsidRPr="00FE6A74" w:rsidRDefault="005A20DC" w:rsidP="00E72F08">
            <w:pPr>
              <w:jc w:val="center"/>
              <w:rPr>
                <w:rFonts w:ascii="Arial" w:hAnsi="Arial" w:cs="Arial"/>
                <w:sz w:val="20"/>
              </w:rPr>
            </w:pPr>
          </w:p>
        </w:tc>
        <w:tc>
          <w:tcPr>
            <w:tcW w:w="1123" w:type="dxa"/>
            <w:gridSpan w:val="2"/>
          </w:tcPr>
          <w:p w:rsidR="005A20DC" w:rsidRPr="00FE6A74" w:rsidRDefault="005A20DC" w:rsidP="00E72F08">
            <w:pPr>
              <w:jc w:val="center"/>
              <w:rPr>
                <w:rFonts w:ascii="Arial" w:hAnsi="Arial" w:cs="Arial"/>
                <w:sz w:val="20"/>
              </w:rPr>
            </w:pPr>
          </w:p>
          <w:p w:rsidR="005A20DC" w:rsidRDefault="005A20DC" w:rsidP="00E72F08">
            <w:pPr>
              <w:jc w:val="center"/>
              <w:rPr>
                <w:rFonts w:ascii="Arial" w:hAnsi="Arial" w:cs="Arial"/>
                <w:sz w:val="20"/>
              </w:rPr>
            </w:pPr>
            <w:r>
              <w:rPr>
                <w:rFonts w:ascii="Arial" w:hAnsi="Arial" w:cs="Arial"/>
                <w:sz w:val="20"/>
              </w:rPr>
              <w:t>nije navedeno</w:t>
            </w: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r>
              <w:rPr>
                <w:rFonts w:ascii="Arial" w:hAnsi="Arial" w:cs="Arial"/>
                <w:sz w:val="20"/>
              </w:rPr>
              <w:t xml:space="preserve"> </w:t>
            </w: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r>
              <w:rPr>
                <w:rFonts w:ascii="Arial" w:hAnsi="Arial" w:cs="Arial"/>
                <w:sz w:val="20"/>
              </w:rPr>
              <w:t xml:space="preserve"> </w:t>
            </w: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Default="005A20DC" w:rsidP="00E72F08">
            <w:pPr>
              <w:jc w:val="center"/>
              <w:rPr>
                <w:rFonts w:ascii="Arial" w:hAnsi="Arial" w:cs="Arial"/>
                <w:sz w:val="20"/>
              </w:rPr>
            </w:pPr>
          </w:p>
          <w:p w:rsidR="005A20DC" w:rsidRPr="00FE6A74" w:rsidRDefault="005A20DC" w:rsidP="00E72F08">
            <w:pPr>
              <w:jc w:val="center"/>
              <w:rPr>
                <w:rFonts w:ascii="Arial" w:hAnsi="Arial" w:cs="Arial"/>
                <w:sz w:val="20"/>
              </w:rPr>
            </w:pPr>
          </w:p>
        </w:tc>
        <w:tc>
          <w:tcPr>
            <w:tcW w:w="6053" w:type="dxa"/>
            <w:tcBorders>
              <w:top w:val="single" w:sz="2" w:space="0" w:color="auto"/>
              <w:bottom w:val="single" w:sz="2" w:space="0" w:color="auto"/>
            </w:tcBorders>
          </w:tcPr>
          <w:p w:rsidR="005A20DC" w:rsidRPr="001330B6" w:rsidRDefault="005A20DC" w:rsidP="00E72F08">
            <w:pPr>
              <w:rPr>
                <w:rFonts w:ascii="Arial" w:hAnsi="Arial" w:cs="Arial"/>
                <w:sz w:val="20"/>
              </w:rPr>
            </w:pP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Temeljem poziva javnosti o dostavi mišljenja, primjedbi i prijedloga o nacrtu Odluke o izmjenama i dopunama Odluke o organizaciji i načinu naplate parkiranja u gradu Varaždinu a obzirom da sam rođeni Varaždinac te dugogodišnji korisnik javnih parkirališta kao i uredni platiša usluga naplate parkiranja, želio sam u ovoj javnoj raspravi ponuditi svoje mišljenje te dati nekoliko prijedloga a vezano uz navedenu temu. Proučavajući objavljenu odluku uočio sam nekoliko prijedloga koji , po mom mišljenju, nisu na dobar način razrađeni te nedostatak nekih drugih prijedloga koji bi možda mogli pomoći nama građanima da lakše dođemo do parkirališnog mjesta te se osigurala veća protočnost samih parkirališta.</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 xml:space="preserve">Odavno Grad razmišlja o uvođenju pješačke zone na Trgu Slobode što je vjerojatno rezultiralo prvim prijedlogom u Odluci a to je da se ukine naplata parkiranja u tom dijelu grada te da se proglasi pješačkom zonom. Ideja je sama po sebi dobra jer bi </w:t>
            </w:r>
            <w:proofErr w:type="spellStart"/>
            <w:r w:rsidRPr="00DD30C5">
              <w:rPr>
                <w:rFonts w:asciiTheme="minorHAnsi" w:hAnsiTheme="minorHAnsi"/>
                <w:sz w:val="18"/>
                <w:szCs w:val="18"/>
              </w:rPr>
              <w:t>izmještanjem</w:t>
            </w:r>
            <w:proofErr w:type="spellEnd"/>
            <w:r w:rsidRPr="00DD30C5">
              <w:rPr>
                <w:rFonts w:asciiTheme="minorHAnsi" w:hAnsiTheme="minorHAnsi"/>
                <w:sz w:val="18"/>
                <w:szCs w:val="18"/>
              </w:rPr>
              <w:t xml:space="preserve"> vozila sa te lokacije jedan prekrasan varaždinski trg zasjao u punom sjaju te bio prepušten pješacima što je bila i namjera a za provedbu vjerujem da </w:t>
            </w:r>
            <w:proofErr w:type="spellStart"/>
            <w:r w:rsidRPr="00DD30C5">
              <w:rPr>
                <w:rFonts w:asciiTheme="minorHAnsi" w:hAnsiTheme="minorHAnsi"/>
                <w:sz w:val="18"/>
                <w:szCs w:val="18"/>
              </w:rPr>
              <w:t>nebi</w:t>
            </w:r>
            <w:proofErr w:type="spellEnd"/>
            <w:r w:rsidRPr="00DD30C5">
              <w:rPr>
                <w:rFonts w:asciiTheme="minorHAnsi" w:hAnsiTheme="minorHAnsi"/>
                <w:sz w:val="18"/>
                <w:szCs w:val="18"/>
              </w:rPr>
              <w:t xml:space="preserve"> smjelo biti većih problema obzirom da </w:t>
            </w:r>
            <w:r w:rsidRPr="00DD30C5">
              <w:rPr>
                <w:rFonts w:asciiTheme="minorHAnsi" w:hAnsiTheme="minorHAnsi"/>
                <w:sz w:val="18"/>
                <w:szCs w:val="18"/>
              </w:rPr>
              <w:lastRenderedPageBreak/>
              <w:t xml:space="preserve">je tek nekoliko koraka dalje garaža koja bi bez problema mogla prihvatiti vozila sa te lokacije. Svakako, pristup stanarima bi mogao biti dozvoljen samo u slučaju da imaju dvorište u koje mogu parkirati vozilo , jer bi u protivnom za godinu dvije stanari raznim vozilima ponovo preplavili trg. Tim potezom bi se riješio još jedan problem a to je onaj parkiranja u ulici Ankice </w:t>
            </w:r>
            <w:proofErr w:type="spellStart"/>
            <w:r w:rsidRPr="00DD30C5">
              <w:rPr>
                <w:rFonts w:asciiTheme="minorHAnsi" w:hAnsiTheme="minorHAnsi"/>
                <w:sz w:val="18"/>
                <w:szCs w:val="18"/>
              </w:rPr>
              <w:t>Opolski</w:t>
            </w:r>
            <w:proofErr w:type="spellEnd"/>
            <w:r w:rsidRPr="00DD30C5">
              <w:rPr>
                <w:rFonts w:asciiTheme="minorHAnsi" w:hAnsiTheme="minorHAnsi"/>
                <w:sz w:val="18"/>
                <w:szCs w:val="18"/>
              </w:rPr>
              <w:t xml:space="preserve"> u kojoj se</w:t>
            </w:r>
            <w:r>
              <w:rPr>
                <w:rFonts w:asciiTheme="minorHAnsi" w:hAnsiTheme="minorHAnsi"/>
                <w:sz w:val="18"/>
                <w:szCs w:val="18"/>
              </w:rPr>
              <w:t>, iako je označena pješačka zo</w:t>
            </w:r>
            <w:r w:rsidRPr="00DD30C5">
              <w:rPr>
                <w:rFonts w:asciiTheme="minorHAnsi" w:hAnsiTheme="minorHAnsi"/>
                <w:sz w:val="18"/>
                <w:szCs w:val="18"/>
              </w:rPr>
              <w:t xml:space="preserve">na, neprestano parkiraju razna vozila te čak tamo ostaju po nekoliko sati. U ovom slučaju iznenađuje kako policija, kao i Crtorad sa pauk-službom uopće ne rade svoj posao te se ta vozila tamo nesmetano parkiraju bez straha od kazne, te bi tamo trebalo brzo i učinkovito provesti mjere koje takve radnje sprječavaju i sankcioniraju. Nažalost, ista situacija je i u </w:t>
            </w:r>
            <w:proofErr w:type="spellStart"/>
            <w:r w:rsidRPr="00DD30C5">
              <w:rPr>
                <w:rFonts w:asciiTheme="minorHAnsi" w:hAnsiTheme="minorHAnsi"/>
                <w:sz w:val="18"/>
                <w:szCs w:val="18"/>
              </w:rPr>
              <w:t>Cankarevoj</w:t>
            </w:r>
            <w:proofErr w:type="spellEnd"/>
            <w:r w:rsidRPr="00DD30C5">
              <w:rPr>
                <w:rFonts w:asciiTheme="minorHAnsi" w:hAnsiTheme="minorHAnsi"/>
                <w:sz w:val="18"/>
                <w:szCs w:val="18"/>
              </w:rPr>
              <w:t xml:space="preserve"> ulici, Kačićevoj , pa čak i Pavlinskoj te još u nekim drugim ulicama u gradu. Obzirom da često prolazim navedenim ulicama, primjećujem da se situacija uopće ne mijenja na bolje. </w:t>
            </w:r>
            <w:proofErr w:type="spellStart"/>
            <w:r w:rsidRPr="00DD30C5">
              <w:rPr>
                <w:rFonts w:asciiTheme="minorHAnsi" w:hAnsiTheme="minorHAnsi"/>
                <w:sz w:val="18"/>
                <w:szCs w:val="18"/>
              </w:rPr>
              <w:t>Cankareva</w:t>
            </w:r>
            <w:proofErr w:type="spellEnd"/>
            <w:r w:rsidRPr="00DD30C5">
              <w:rPr>
                <w:rFonts w:asciiTheme="minorHAnsi" w:hAnsiTheme="minorHAnsi"/>
                <w:sz w:val="18"/>
                <w:szCs w:val="18"/>
              </w:rPr>
              <w:t xml:space="preserve"> ulica je poseban problem i mišljenja sam da se pogrešno pristupilo zabrani prometa u toj ulici ali se svakako trebalo zabraniti parkiranje u istoj. Trenutna situacija tamo je takva da se, usprkos zabrani , prometuje tom ulicom ali se uzduž cijele ulice i dalje parkira na još uvijek vidljivim parkirališnim mjestima o čemu, naravno ni policija a niti pauk služba ne vode računa. Obzirom da općina kao i još neki korisnici prostora te stanari ionako moraju prolaziti tom ulicom ona bi po meni trebala i dalje biti prometna u oba smjera sa zabranom parkiranja u istoj bez iznimke stanara koji i onako imaju svoja dvorišta i parkirališta, te bih na njezinom kraju neposredno uz bivšu robnu kuću napravio parkiralište za motocikle čime bi ih maknuo sa sadašnje pozicije kraj crkve te bih time poštovao oformljenu pješačku zonu u punom smislu riječi. Motociklistima, od kojih sam i ja jedan, neće biti teško napraviti tih desetak koraka više. Također bi na tom mjestu moglo biti veliko parkiralište za bicikle. U Pavlinskoj ulici trebalo bi pod hitno fizički zabraniti ulazak vozilima u pješačku zonu obzirom da postoje parkirališna mjesta pod naplatom  na koje se može parkirati. Činjenica je da se zloupotrebljava dozvola ulaska dostavnim vozilima u vremenu od 7-9 sati, te su ista vozila tijekom cijelog jutra u prometu tom ulicom a nerijetko se voze i preko Korza da skrate put, što je također uzeto </w:t>
            </w:r>
            <w:proofErr w:type="spellStart"/>
            <w:r w:rsidRPr="00DD30C5">
              <w:rPr>
                <w:rFonts w:asciiTheme="minorHAnsi" w:hAnsiTheme="minorHAnsi"/>
                <w:sz w:val="18"/>
                <w:szCs w:val="18"/>
              </w:rPr>
              <w:t>preliberalno</w:t>
            </w:r>
            <w:proofErr w:type="spellEnd"/>
            <w:r w:rsidRPr="00DD30C5">
              <w:rPr>
                <w:rFonts w:asciiTheme="minorHAnsi" w:hAnsiTheme="minorHAnsi"/>
                <w:sz w:val="18"/>
                <w:szCs w:val="18"/>
              </w:rPr>
              <w:t xml:space="preserve"> te za takvo ponašanje nema nikakvih sankcija. Osobno sam bio svjedok, dok sam radio u tom dijelu grada da neki gospodin svakodnevno dovozi svoju suprugu na posao, parkira ispred zgrade fakulteta te se nesmetano okreće na Korzu te odlazi dalje. Vožnja i parkiranje u tom dijelu grada postala je svakodnevica. Sjećam se da su svojedobno predlagani pokretni stupići na toj lokaciji i žao mi je da se od toga odustalo.</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 xml:space="preserve">U centru grada također, postoje parkirališta koja imaju pogrešan status a ovom im se Odlukom pozicija dodatno pogoršala. Jedno od takvih je parkiralište na Trgu bana Jelačića. Iz Odluke je vidljivo da Grad shvaća da je trenutna situacija </w:t>
            </w:r>
            <w:r w:rsidRPr="00DD30C5">
              <w:rPr>
                <w:rFonts w:asciiTheme="minorHAnsi" w:hAnsiTheme="minorHAnsi"/>
                <w:sz w:val="18"/>
                <w:szCs w:val="18"/>
              </w:rPr>
              <w:lastRenderedPageBreak/>
              <w:t xml:space="preserve">sa tim parkiralištem loše riješena te pokušava iznaći rješenje o boljoj opciji, međutim smatram da predložena mjera ide na štetu građana . Ovom promjenom građani se kažnjavaju što su u gradu tokom jutra od 8,00 do 12,00 te će u tom razdoblju plaćati skuplje parkiranje što će najvjerojatnije rezultirati izbjegavanjem parkiranja na toj lokaciji u tom vremenu te donijeti dodatne gužve. Navedeno parkiralište u jutarnjem terminu  služi uglavnom za građane koji dolaze na gradsku Tržnicu te ostale poslovne prostore u blizini. Besplatno vrijeme od 15-20 minuta više je nego dovoljno da se netko ukrca u vozilo ili da utovari kupljenu ili drugu robu te da se makne drugom takvom korisniku. Zbog čega bi to parkiralište na bilo koji način i u bilo kojem vremenu bilo skuplje nego parkiralište u Šenoinoj ulici koja je neposredno uz to parkiralište? Mislim da je naplata od 5 kn po satu za korisnike koji ostaju više od 20 minuta primjerena.  Odluka koja se donosi treba donijeti red u regulaciji parkiranja ali da pri tom ne čini dodatnu štetu građanima. Štoviše, mišljenja sam da bi se na neki način trebalo pogodovati korisnicima koji pravilno koriste te plaćaju usluge naplate parkiranja te im omogućiti neku pogodnost kao na primjer da se na parkiralištu na Trgu bana Jelačića uvede način parkiranja da je prvi sat 5 kuna a svaki slijedeći 3 ili 4 kune, to bi potaklo korisnike parkirališta da svojeg limenog ljubimca ostave malo duže na parkiralištu. </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U Odluci se također navode neke ulice u kojima bi se dodatno uvela naplata parkiranja, što samo po sebi nije loša ideja , pogotovo ako time ispunjavamo odredbe koncesijskog ugovora o broju parkirališnih mjesta pod koncesijom, jedino što se pritom svakako mora voditi računa da se osiguraju parkirališna mjesta za stanare na mjestima gdje se uvodi naplata ili da se ukoliko su mjesta za stanare u sklopu mjesta pod naplatom  osigura dio mjesta za korištenje isključivo stanarima.</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 xml:space="preserve">Uvođenje naplate u ulici kod Hitne službe a vezano za dio odredbe kojom korisnici usluga Hitne službe mogu od koncesionara tražiti povrat sredstava vrlo je loše zamišljen te je kao takav nespretan za realizaciju. Možete li zamisliti bolesnog čovjeka koji je došao na Hitnu, da nakon toga ide na lokaciju koncesionara tražiti povrat uplaćenih 5 ili 10 kuna ili u najgorem slučaju tražiti poništenje kazne zbog neplaćanja parkirališne karte.  To je oslobođenje od plaćanja koje to u stvari nije, već je dodatna komplikacija za bolesnog čovjeka. Jedno od rješenja je da se unutar ulaza u Hitnu umjesto ona tri postojeća parkirališna mjesta napravi još 10 mjesta za koja tamo i onako ima dovoljno mjesta a naplata vanjskih  parkirališta ostavi takva kakva je, ili neko drugo rješenje koje opet ne ide na štetu korisnicima. </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 xml:space="preserve">Na parkiralištu iza Društva naša djeca već je bila uvedena naplata parkiranja od 1 kune po satu ili 5 kn za cijeli dan i mislim da je to dobro funkcioniralo te da će ponovno uvođenje te naplate biti dobro prihvaćeno obzirom da su navedeni </w:t>
            </w:r>
            <w:r w:rsidRPr="00DD30C5">
              <w:rPr>
                <w:rFonts w:asciiTheme="minorHAnsi" w:hAnsiTheme="minorHAnsi"/>
                <w:sz w:val="18"/>
                <w:szCs w:val="18"/>
              </w:rPr>
              <w:lastRenderedPageBreak/>
              <w:t xml:space="preserve">iznosi mali. </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Na nekim lokacijama u užoj jezgri grada, pogotovo na onim gdje se očekuje veća protočnost parkiranja, bilo bi dobro uvesti naplatu parkiranja od pola sata po cijeni od 3 kune što bi većem broju građana osigura</w:t>
            </w:r>
            <w:r>
              <w:rPr>
                <w:rFonts w:asciiTheme="minorHAnsi" w:hAnsiTheme="minorHAnsi"/>
                <w:sz w:val="18"/>
                <w:szCs w:val="18"/>
              </w:rPr>
              <w:t>lo parkiranje pri obavljanju kra</w:t>
            </w:r>
            <w:r w:rsidRPr="00DD30C5">
              <w:rPr>
                <w:rFonts w:asciiTheme="minorHAnsi" w:hAnsiTheme="minorHAnsi"/>
                <w:sz w:val="18"/>
                <w:szCs w:val="18"/>
              </w:rPr>
              <w:t xml:space="preserve">ćeg posla u jezgri grada gdje je dozvoljeno parkiranje. </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 xml:space="preserve">Također sam primijetio da Odluka kojom se dnevna karta naplaćuje u iznosu preostalom do kraja isteka termina na tom parkiralištu često dovodi do toga da pojedini  korisnici uopće ne plaćaju zadnji sat ili dva parkiranja jer će za navedeni iznos ionako dobiti uplatnicu od koncesionara. To neminovno dovodi do bespotrebnih dodatnih troškova za koncesionara te do nereda u postupku naplate parkiranja a samim tim dovodi u neravnopravan položaj nas korisnike koji redovito plaćamo parkiranje. Svakako bi rješenje bilo da se uvede fiksni dio prilikom slanja opomene i uplatnice od nekih 15 ili 20 kn kojim bi se u stvari sankcioniralo neplaćanje parkinga tako da neplatiše ne bi bili u povlaštenom položaju zato što </w:t>
            </w:r>
            <w:proofErr w:type="spellStart"/>
            <w:r w:rsidRPr="00DD30C5">
              <w:rPr>
                <w:rFonts w:asciiTheme="minorHAnsi" w:hAnsiTheme="minorHAnsi"/>
                <w:sz w:val="18"/>
                <w:szCs w:val="18"/>
              </w:rPr>
              <w:t>neplaćaju</w:t>
            </w:r>
            <w:proofErr w:type="spellEnd"/>
            <w:r w:rsidRPr="00DD30C5">
              <w:rPr>
                <w:rFonts w:asciiTheme="minorHAnsi" w:hAnsiTheme="minorHAnsi"/>
                <w:sz w:val="18"/>
                <w:szCs w:val="18"/>
              </w:rPr>
              <w:t xml:space="preserve"> parkiranje.</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Za kraj bih želio reći da bi svi mi , najradije bili oslobođeni bilo kakve naplate obzirom da je to trošak za naše kućne budžete ali da moramo prihvatiti uvođenje reda u parkiranje u gradu, pogotovo što po vlastitom iskustvu Varaždin ima jedno od jeftinijih parkiranja u Hrvatskoj uz čast izuzecima, te najniže sankcije prilikom neplaćanja parkiranja. Veći problem vidim jedino u edukacijskim pa i represivnim mjerama kojim bi se uveo pravi red u korištenje parkirališta u gradu  a pri tom prvenstveno mislim na rad pauk službe koja je , pogotovo u zadnje vrijeme gotovo neprimjetna te ne obavlja svoj posao kako treba te se na pojedinim lokacijama ponovo uveo kaos umjesto reda, a pri tom mislim na parkiranje kod Porezne uprave iako takvih lokacija ima nekoliko. Naravno uz to je i uloga Policije koja po mojem viđenju, provodi vrlo malo vremena i mjera za uvođenje reda na prometnicama u gradu a pogotovo vezano za red na parkirnim mjestima.</w:t>
            </w:r>
          </w:p>
          <w:p w:rsidR="005A20DC" w:rsidRPr="00DD30C5" w:rsidRDefault="005A20DC" w:rsidP="005A20DC">
            <w:pPr>
              <w:rPr>
                <w:rFonts w:asciiTheme="minorHAnsi" w:hAnsiTheme="minorHAnsi"/>
                <w:sz w:val="18"/>
                <w:szCs w:val="18"/>
              </w:rPr>
            </w:pPr>
            <w:r w:rsidRPr="00DD30C5">
              <w:rPr>
                <w:rFonts w:asciiTheme="minorHAnsi" w:hAnsiTheme="minorHAnsi"/>
                <w:sz w:val="18"/>
                <w:szCs w:val="18"/>
              </w:rPr>
              <w:t>Nadam se da će se ovom Odlukom, uključujući  još i pojedine izmjene za koje se nadam da će doživjeti,poboljšati situacija parkiranja u Varaždinu te da će od nje svi imati koristi, kako građani tako i grad te koncesionar.</w:t>
            </w:r>
          </w:p>
          <w:p w:rsidR="005A20DC" w:rsidRPr="00E52C06" w:rsidRDefault="005A20DC" w:rsidP="005A20DC">
            <w:pPr>
              <w:rPr>
                <w:rFonts w:ascii="Arial" w:hAnsi="Arial" w:cs="Arial"/>
                <w:sz w:val="20"/>
              </w:rPr>
            </w:pPr>
          </w:p>
        </w:tc>
        <w:tc>
          <w:tcPr>
            <w:tcW w:w="1276" w:type="dxa"/>
            <w:vAlign w:val="center"/>
          </w:tcPr>
          <w:p w:rsidR="005A20DC" w:rsidRDefault="005A20DC"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5A20DC" w:rsidRDefault="005A20DC" w:rsidP="00E72F08">
            <w:pPr>
              <w:rPr>
                <w:rFonts w:ascii="Arial" w:hAnsi="Arial" w:cs="Arial"/>
                <w:sz w:val="16"/>
                <w:szCs w:val="16"/>
              </w:rPr>
            </w:pPr>
            <w:r>
              <w:rPr>
                <w:rFonts w:ascii="Arial" w:hAnsi="Arial" w:cs="Arial"/>
                <w:sz w:val="16"/>
                <w:szCs w:val="16"/>
              </w:rPr>
              <w:t>ne prihvaća se</w:t>
            </w: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8F3C0A" w:rsidP="00E72F08">
            <w:pPr>
              <w:rPr>
                <w:rFonts w:ascii="Arial" w:hAnsi="Arial" w:cs="Arial"/>
                <w:sz w:val="16"/>
                <w:szCs w:val="16"/>
              </w:rPr>
            </w:pPr>
            <w:r>
              <w:rPr>
                <w:rFonts w:ascii="Arial" w:hAnsi="Arial" w:cs="Arial"/>
                <w:sz w:val="16"/>
                <w:szCs w:val="16"/>
              </w:rPr>
              <w:t>ne prihvaća se</w:t>
            </w: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r>
              <w:rPr>
                <w:rFonts w:ascii="Arial" w:hAnsi="Arial" w:cs="Arial"/>
                <w:sz w:val="16"/>
                <w:szCs w:val="16"/>
              </w:rPr>
              <w:t xml:space="preserve"> </w:t>
            </w: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Default="005A20DC" w:rsidP="00E72F08">
            <w:pPr>
              <w:rPr>
                <w:rFonts w:ascii="Arial" w:hAnsi="Arial" w:cs="Arial"/>
                <w:sz w:val="16"/>
                <w:szCs w:val="16"/>
              </w:rPr>
            </w:pPr>
          </w:p>
          <w:p w:rsidR="005A20DC" w:rsidRPr="007303EF" w:rsidRDefault="005A20DC" w:rsidP="00E72F08">
            <w:pPr>
              <w:rPr>
                <w:rFonts w:ascii="Arial" w:hAnsi="Arial" w:cs="Arial"/>
                <w:sz w:val="16"/>
                <w:szCs w:val="16"/>
              </w:rPr>
            </w:pPr>
          </w:p>
        </w:tc>
        <w:tc>
          <w:tcPr>
            <w:tcW w:w="2551" w:type="dxa"/>
          </w:tcPr>
          <w:p w:rsidR="005A20DC" w:rsidRDefault="005A20DC"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8F3C0A" w:rsidRDefault="008F3C0A" w:rsidP="00E72F08">
            <w:pPr>
              <w:rPr>
                <w:rFonts w:ascii="Arial" w:hAnsi="Arial" w:cs="Arial"/>
                <w:sz w:val="16"/>
                <w:szCs w:val="16"/>
              </w:rPr>
            </w:pPr>
          </w:p>
          <w:p w:rsidR="005A20DC" w:rsidRPr="007C4E07" w:rsidRDefault="005A20DC" w:rsidP="00E72F08">
            <w:pPr>
              <w:rPr>
                <w:rFonts w:ascii="Arial" w:hAnsi="Arial" w:cs="Arial"/>
                <w:sz w:val="16"/>
                <w:szCs w:val="16"/>
              </w:rPr>
            </w:pPr>
            <w:r w:rsidRPr="007C4E07">
              <w:rPr>
                <w:rFonts w:ascii="Arial" w:hAnsi="Arial" w:cs="Arial"/>
                <w:sz w:val="16"/>
                <w:szCs w:val="16"/>
              </w:rPr>
              <w:t xml:space="preserve">Određivanje pješačkih zona </w:t>
            </w:r>
            <w:r>
              <w:rPr>
                <w:rFonts w:ascii="Arial" w:hAnsi="Arial" w:cs="Arial"/>
                <w:sz w:val="16"/>
                <w:szCs w:val="16"/>
              </w:rPr>
              <w:t xml:space="preserve">nije predmet savjetovanja sa zainteresiranom javnošću, </w:t>
            </w:r>
            <w:r w:rsidR="00D325B0">
              <w:rPr>
                <w:rFonts w:ascii="Arial" w:hAnsi="Arial" w:cs="Arial"/>
                <w:sz w:val="16"/>
                <w:szCs w:val="16"/>
              </w:rPr>
              <w:t>budući je</w:t>
            </w:r>
            <w:r>
              <w:rPr>
                <w:rFonts w:ascii="Arial" w:hAnsi="Arial" w:cs="Arial"/>
                <w:sz w:val="16"/>
                <w:szCs w:val="16"/>
              </w:rPr>
              <w:t xml:space="preserve"> navedena problematika </w:t>
            </w:r>
            <w:r w:rsidRPr="007C4E07">
              <w:rPr>
                <w:rFonts w:ascii="Arial" w:hAnsi="Arial" w:cs="Arial"/>
                <w:sz w:val="16"/>
                <w:szCs w:val="16"/>
              </w:rPr>
              <w:t>definira</w:t>
            </w:r>
            <w:r w:rsidR="00D325B0">
              <w:rPr>
                <w:rFonts w:ascii="Arial" w:hAnsi="Arial" w:cs="Arial"/>
                <w:sz w:val="16"/>
                <w:szCs w:val="16"/>
              </w:rPr>
              <w:t>na</w:t>
            </w:r>
            <w:r w:rsidRPr="007C4E07">
              <w:rPr>
                <w:rFonts w:ascii="Arial" w:hAnsi="Arial" w:cs="Arial"/>
                <w:sz w:val="16"/>
                <w:szCs w:val="16"/>
              </w:rPr>
              <w:t xml:space="preserve"> Odlukom o uređenju prometa na području Grada Varaždina.</w:t>
            </w: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r>
              <w:rPr>
                <w:rFonts w:ascii="Arial" w:hAnsi="Arial" w:cs="Arial"/>
                <w:sz w:val="16"/>
                <w:szCs w:val="16"/>
              </w:rPr>
              <w:t xml:space="preserve">. </w:t>
            </w: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8F3C0A" w:rsidP="00E72F08">
            <w:pPr>
              <w:pStyle w:val="Odlomakpopisa"/>
              <w:ind w:left="34"/>
              <w:rPr>
                <w:rFonts w:ascii="Arial" w:hAnsi="Arial" w:cs="Arial"/>
                <w:sz w:val="16"/>
                <w:szCs w:val="16"/>
              </w:rPr>
            </w:pPr>
            <w:r w:rsidRPr="00EF1858">
              <w:rPr>
                <w:rFonts w:ascii="Arial" w:hAnsi="Arial" w:cs="Arial"/>
                <w:color w:val="000000"/>
                <w:sz w:val="16"/>
                <w:szCs w:val="16"/>
              </w:rPr>
              <w:t xml:space="preserve">Grad i Crtorad usuglasili su stajalište oko  naplate 4. kategorije na Trgu bana </w:t>
            </w:r>
            <w:r w:rsidRPr="00EF1858">
              <w:rPr>
                <w:rFonts w:ascii="Arial" w:hAnsi="Arial" w:cs="Arial"/>
                <w:color w:val="000000"/>
                <w:sz w:val="16"/>
                <w:szCs w:val="16"/>
              </w:rPr>
              <w:lastRenderedPageBreak/>
              <w:t>Jelačića da je prvih 30 minuta za korisnike parkirališta u terminu od 8,00 do uključivo 12,00 sati besplatno, nakon toga vremena se naplaćuje sat parkiranja po cijeni od 10,00 kuna, parkiranje u terminu nakon 12,00 do završetka vremena naplate naplaćuje se po cijeni od 5 kuna/sat . Pogodnost za građane je pravednija raspodjela dostupnosti parkirališta u blizini gradske tržnice i što se subotom u terminu od 15,00 do 20,00 sati parkiralište ne naplaćuje.</w:t>
            </w: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Default="005A20DC" w:rsidP="00E72F08">
            <w:pPr>
              <w:pStyle w:val="Odlomakpopisa"/>
              <w:ind w:left="34"/>
              <w:rPr>
                <w:rFonts w:ascii="Arial" w:hAnsi="Arial" w:cs="Arial"/>
                <w:sz w:val="16"/>
                <w:szCs w:val="16"/>
              </w:rPr>
            </w:pPr>
          </w:p>
          <w:p w:rsidR="005A20DC" w:rsidRPr="009C1029" w:rsidRDefault="005A20DC" w:rsidP="00E72F08">
            <w:pPr>
              <w:pStyle w:val="Odlomakpopisa"/>
              <w:ind w:left="176"/>
              <w:rPr>
                <w:rFonts w:ascii="Arial" w:hAnsi="Arial" w:cs="Arial"/>
                <w:sz w:val="16"/>
                <w:szCs w:val="16"/>
              </w:rPr>
            </w:pPr>
          </w:p>
        </w:tc>
      </w:tr>
    </w:tbl>
    <w:p w:rsidR="005A20DC" w:rsidRDefault="005A20DC" w:rsidP="005A20DC"/>
    <w:p w:rsidR="005A20DC" w:rsidRPr="00B426A0" w:rsidRDefault="005A20DC" w:rsidP="005A20DC">
      <w:pPr>
        <w:ind w:firstLine="708"/>
        <w:jc w:val="both"/>
        <w:rPr>
          <w:sz w:val="24"/>
          <w:szCs w:val="24"/>
        </w:rPr>
      </w:pPr>
      <w:r w:rsidRPr="00B426A0">
        <w:rPr>
          <w:sz w:val="24"/>
          <w:szCs w:val="24"/>
        </w:rPr>
        <w:t xml:space="preserve">U vremenu trajanja savjetovanja </w:t>
      </w:r>
      <w:r w:rsidR="007771D9" w:rsidRPr="00B426A0">
        <w:rPr>
          <w:sz w:val="24"/>
          <w:szCs w:val="24"/>
        </w:rPr>
        <w:t>pristig</w:t>
      </w:r>
      <w:r w:rsidR="007771D9">
        <w:rPr>
          <w:sz w:val="24"/>
          <w:szCs w:val="24"/>
        </w:rPr>
        <w:t>la je jedna</w:t>
      </w:r>
      <w:r w:rsidRPr="00B426A0">
        <w:rPr>
          <w:sz w:val="24"/>
          <w:szCs w:val="24"/>
        </w:rPr>
        <w:t xml:space="preserve"> primjedb</w:t>
      </w:r>
      <w:r w:rsidR="007771D9">
        <w:rPr>
          <w:sz w:val="24"/>
          <w:szCs w:val="24"/>
        </w:rPr>
        <w:t>a</w:t>
      </w:r>
      <w:r w:rsidRPr="00B426A0">
        <w:rPr>
          <w:sz w:val="24"/>
          <w:szCs w:val="24"/>
        </w:rPr>
        <w:t>/prijedlog zainteresirane javnosti na Nacrt prijedloga Odluke o</w:t>
      </w:r>
      <w:r w:rsidR="007771D9">
        <w:rPr>
          <w:sz w:val="24"/>
          <w:szCs w:val="24"/>
        </w:rPr>
        <w:t xml:space="preserve"> </w:t>
      </w:r>
      <w:r>
        <w:rPr>
          <w:sz w:val="24"/>
          <w:szCs w:val="24"/>
        </w:rPr>
        <w:t xml:space="preserve">izmjenama </w:t>
      </w:r>
      <w:r w:rsidR="007771D9">
        <w:rPr>
          <w:sz w:val="24"/>
          <w:szCs w:val="24"/>
        </w:rPr>
        <w:t xml:space="preserve">i dopunama Odluke o organizaciji i načinu naplate </w:t>
      </w:r>
      <w:r w:rsidR="00D325B0">
        <w:rPr>
          <w:sz w:val="24"/>
          <w:szCs w:val="24"/>
        </w:rPr>
        <w:t>parkiranja</w:t>
      </w:r>
      <w:r w:rsidRPr="00B426A0">
        <w:rPr>
          <w:sz w:val="24"/>
          <w:szCs w:val="24"/>
        </w:rPr>
        <w:t>.</w:t>
      </w:r>
      <w:r w:rsidR="00D325B0">
        <w:rPr>
          <w:sz w:val="24"/>
          <w:szCs w:val="24"/>
        </w:rPr>
        <w:t xml:space="preserve"> </w:t>
      </w:r>
      <w:r w:rsidRPr="00B426A0">
        <w:rPr>
          <w:sz w:val="24"/>
          <w:szCs w:val="24"/>
        </w:rPr>
        <w:t xml:space="preserve">Isto tako u vremenu trajanja savjetovanja sa zainteresiranom javnošću </w:t>
      </w:r>
      <w:r w:rsidR="00D325B0">
        <w:rPr>
          <w:sz w:val="24"/>
          <w:szCs w:val="24"/>
        </w:rPr>
        <w:t>u terminu od 2</w:t>
      </w:r>
      <w:r w:rsidRPr="00B426A0">
        <w:rPr>
          <w:sz w:val="24"/>
          <w:szCs w:val="24"/>
        </w:rPr>
        <w:t xml:space="preserve">4. </w:t>
      </w:r>
      <w:r>
        <w:rPr>
          <w:sz w:val="24"/>
          <w:szCs w:val="24"/>
        </w:rPr>
        <w:t>o</w:t>
      </w:r>
      <w:r w:rsidRPr="00B426A0">
        <w:rPr>
          <w:sz w:val="24"/>
          <w:szCs w:val="24"/>
        </w:rPr>
        <w:t xml:space="preserve">žujka 2015. </w:t>
      </w:r>
      <w:r>
        <w:rPr>
          <w:sz w:val="24"/>
          <w:szCs w:val="24"/>
        </w:rPr>
        <w:t>d</w:t>
      </w:r>
      <w:r w:rsidRPr="00B426A0">
        <w:rPr>
          <w:sz w:val="24"/>
          <w:szCs w:val="24"/>
        </w:rPr>
        <w:t xml:space="preserve">o 24. </w:t>
      </w:r>
      <w:r>
        <w:rPr>
          <w:sz w:val="24"/>
          <w:szCs w:val="24"/>
        </w:rPr>
        <w:t>t</w:t>
      </w:r>
      <w:r w:rsidRPr="00B426A0">
        <w:rPr>
          <w:sz w:val="24"/>
          <w:szCs w:val="24"/>
        </w:rPr>
        <w:t xml:space="preserve">ravnja 2015. </w:t>
      </w:r>
      <w:r>
        <w:rPr>
          <w:sz w:val="24"/>
          <w:szCs w:val="24"/>
        </w:rPr>
        <w:t>g</w:t>
      </w:r>
      <w:r w:rsidRPr="00B426A0">
        <w:rPr>
          <w:sz w:val="24"/>
          <w:szCs w:val="24"/>
        </w:rPr>
        <w:t>odine zaprimljen</w:t>
      </w:r>
      <w:r w:rsidR="00D325B0">
        <w:rPr>
          <w:sz w:val="24"/>
          <w:szCs w:val="24"/>
        </w:rPr>
        <w:t xml:space="preserve"> jedan </w:t>
      </w:r>
      <w:r w:rsidRPr="00B426A0">
        <w:rPr>
          <w:sz w:val="24"/>
          <w:szCs w:val="24"/>
        </w:rPr>
        <w:t>anonim</w:t>
      </w:r>
      <w:r w:rsidR="00D325B0">
        <w:rPr>
          <w:sz w:val="24"/>
          <w:szCs w:val="24"/>
        </w:rPr>
        <w:t>an</w:t>
      </w:r>
      <w:r w:rsidRPr="00B426A0">
        <w:rPr>
          <w:sz w:val="24"/>
          <w:szCs w:val="24"/>
        </w:rPr>
        <w:t xml:space="preserve"> dopis</w:t>
      </w:r>
      <w:r w:rsidR="008F3C0A">
        <w:rPr>
          <w:sz w:val="24"/>
          <w:szCs w:val="24"/>
        </w:rPr>
        <w:t>, te jedan dopis nakon isteka vremena trajanja savjetovanja.</w:t>
      </w:r>
    </w:p>
    <w:p w:rsidR="00D325B0" w:rsidRDefault="00D325B0" w:rsidP="005A20DC">
      <w:pPr>
        <w:rPr>
          <w:sz w:val="24"/>
          <w:szCs w:val="24"/>
        </w:rPr>
      </w:pPr>
    </w:p>
    <w:p w:rsidR="005A20DC" w:rsidRPr="00B426A0" w:rsidRDefault="005A20DC" w:rsidP="005A20DC">
      <w:pPr>
        <w:rPr>
          <w:sz w:val="24"/>
          <w:szCs w:val="24"/>
        </w:rPr>
      </w:pPr>
      <w:r>
        <w:rPr>
          <w:sz w:val="24"/>
          <w:szCs w:val="24"/>
        </w:rPr>
        <w:t>KLASA:340-09/14-04/3</w:t>
      </w:r>
    </w:p>
    <w:p w:rsidR="00C31703" w:rsidRDefault="005A20DC">
      <w:r>
        <w:rPr>
          <w:sz w:val="24"/>
          <w:szCs w:val="24"/>
        </w:rPr>
        <w:t>URBROJ:2186/01-06-00-15-5</w:t>
      </w:r>
    </w:p>
    <w:sectPr w:rsidR="00C31703" w:rsidSect="007C4E0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20DC"/>
    <w:rsid w:val="005A20DC"/>
    <w:rsid w:val="007771D9"/>
    <w:rsid w:val="007C070F"/>
    <w:rsid w:val="00883978"/>
    <w:rsid w:val="008F3C0A"/>
    <w:rsid w:val="00C31703"/>
    <w:rsid w:val="00D325B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DC"/>
    <w:pPr>
      <w:spacing w:after="0" w:line="240" w:lineRule="auto"/>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A20DC"/>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5A20DC"/>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5A20DC"/>
    <w:pPr>
      <w:ind w:left="720"/>
      <w:contextualSpacing/>
    </w:pPr>
  </w:style>
  <w:style w:type="character" w:styleId="Naglaeno">
    <w:name w:val="Strong"/>
    <w:basedOn w:val="Zadanifontodlomka"/>
    <w:uiPriority w:val="22"/>
    <w:qFormat/>
    <w:rsid w:val="005A20DC"/>
    <w:rPr>
      <w:b/>
      <w:bCs/>
    </w:rPr>
  </w:style>
  <w:style w:type="paragraph" w:styleId="StandardWeb">
    <w:name w:val="Normal (Web)"/>
    <w:basedOn w:val="Normal"/>
    <w:uiPriority w:val="99"/>
    <w:unhideWhenUsed/>
    <w:rsid w:val="005A20DC"/>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1800</Words>
  <Characters>10260</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Grad Varaždin</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marijanacindric</dc:creator>
  <cp:lastModifiedBy>marijanacindric</cp:lastModifiedBy>
  <cp:revision>2</cp:revision>
  <cp:lastPrinted>2015-05-20T07:56:00Z</cp:lastPrinted>
  <dcterms:created xsi:type="dcterms:W3CDTF">2015-05-20T07:20:00Z</dcterms:created>
  <dcterms:modified xsi:type="dcterms:W3CDTF">2015-05-20T07:58:00Z</dcterms:modified>
</cp:coreProperties>
</file>